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660C" w14:textId="75B6084D" w:rsidR="009B29CC" w:rsidRPr="00DD6D4B" w:rsidRDefault="00DD6D4B" w:rsidP="00DD6D4B">
      <w:pPr>
        <w:jc w:val="center"/>
        <w:rPr>
          <w:b/>
          <w:color w:val="C00000"/>
          <w:lang w:val="tr-TR"/>
        </w:rPr>
      </w:pPr>
      <w:r w:rsidRPr="00DD6D4B">
        <w:rPr>
          <w:b/>
          <w:color w:val="C00000"/>
          <w:lang w:val="tr-TR"/>
        </w:rPr>
        <w:t>TÜRKİYE-BREZİLYA İKİLİ TİCARİ İLİŞKİLERİ DEĞERLENDİRMESİ</w:t>
      </w:r>
    </w:p>
    <w:tbl>
      <w:tblPr>
        <w:tblStyle w:val="Tabelanormal"/>
        <w:tblpPr w:leftFromText="141" w:rightFromText="141" w:vertAnchor="page" w:horzAnchor="margin" w:tblpXSpec="center" w:tblpY="1983"/>
        <w:tblW w:w="9377" w:type="dxa"/>
        <w:tblInd w:w="0" w:type="dxa"/>
        <w:tblCellMar>
          <w:left w:w="0" w:type="dxa"/>
          <w:right w:w="0" w:type="dxa"/>
        </w:tblCellMar>
        <w:tblLook w:val="04A0" w:firstRow="1" w:lastRow="0" w:firstColumn="1" w:lastColumn="0" w:noHBand="0" w:noVBand="1"/>
      </w:tblPr>
      <w:tblGrid>
        <w:gridCol w:w="355"/>
        <w:gridCol w:w="944"/>
        <w:gridCol w:w="1189"/>
        <w:gridCol w:w="1525"/>
        <w:gridCol w:w="911"/>
        <w:gridCol w:w="1156"/>
        <w:gridCol w:w="1492"/>
        <w:gridCol w:w="898"/>
        <w:gridCol w:w="907"/>
      </w:tblGrid>
      <w:tr w:rsidR="00DD6D4B" w:rsidRPr="004463C9" w14:paraId="030C5902" w14:textId="77777777" w:rsidTr="00DD6D4B">
        <w:trPr>
          <w:trHeight w:val="237"/>
        </w:trPr>
        <w:tc>
          <w:tcPr>
            <w:tcW w:w="9377" w:type="dxa"/>
            <w:gridSpan w:val="9"/>
            <w:noWrap/>
            <w:tcMar>
              <w:top w:w="15" w:type="dxa"/>
              <w:left w:w="15" w:type="dxa"/>
              <w:bottom w:w="0" w:type="dxa"/>
              <w:right w:w="15" w:type="dxa"/>
            </w:tcMar>
            <w:hideMark/>
          </w:tcPr>
          <w:p w14:paraId="66526C29" w14:textId="77777777" w:rsidR="00DD6D4B" w:rsidRPr="003B5514" w:rsidRDefault="00DD6D4B" w:rsidP="00DD6D4B">
            <w:pPr>
              <w:jc w:val="center"/>
              <w:rPr>
                <w:rFonts w:ascii="Calibri" w:hAnsi="Calibri" w:cs="Calibri"/>
                <w:b/>
                <w:bCs/>
                <w:color w:val="000000"/>
                <w:lang w:val="tr-TR"/>
              </w:rPr>
            </w:pPr>
            <w:r w:rsidRPr="003B5514">
              <w:rPr>
                <w:rFonts w:ascii="Calibri" w:hAnsi="Calibri" w:cs="Calibri"/>
                <w:b/>
                <w:bCs/>
                <w:color w:val="000000"/>
                <w:lang w:val="tr-TR"/>
              </w:rPr>
              <w:t>Türkiye-Brezilya İkili Ticaret Verileri</w:t>
            </w:r>
          </w:p>
        </w:tc>
      </w:tr>
      <w:tr w:rsidR="00DD6D4B" w:rsidRPr="004463C9" w14:paraId="639C37E8" w14:textId="77777777" w:rsidTr="00DD6D4B">
        <w:trPr>
          <w:trHeight w:val="237"/>
        </w:trPr>
        <w:tc>
          <w:tcPr>
            <w:tcW w:w="0" w:type="auto"/>
            <w:noWrap/>
            <w:tcMar>
              <w:top w:w="15" w:type="dxa"/>
              <w:left w:w="15" w:type="dxa"/>
              <w:bottom w:w="0" w:type="dxa"/>
              <w:right w:w="15" w:type="dxa"/>
            </w:tcMar>
            <w:vAlign w:val="bottom"/>
            <w:hideMark/>
          </w:tcPr>
          <w:p w14:paraId="0BBF5BB9" w14:textId="77777777" w:rsidR="00DD6D4B" w:rsidRPr="003B5514" w:rsidRDefault="00DD6D4B" w:rsidP="00DD6D4B">
            <w:pPr>
              <w:rPr>
                <w:rFonts w:ascii="Calibri" w:hAnsi="Calibri" w:cs="Calibri"/>
                <w:b/>
                <w:bCs/>
                <w:color w:val="000000"/>
                <w:lang w:val="tr-TR"/>
              </w:rPr>
            </w:pPr>
          </w:p>
        </w:tc>
        <w:tc>
          <w:tcPr>
            <w:tcW w:w="0" w:type="auto"/>
            <w:noWrap/>
            <w:tcMar>
              <w:top w:w="15" w:type="dxa"/>
              <w:left w:w="15" w:type="dxa"/>
              <w:bottom w:w="0" w:type="dxa"/>
              <w:right w:w="15" w:type="dxa"/>
            </w:tcMar>
            <w:vAlign w:val="bottom"/>
            <w:hideMark/>
          </w:tcPr>
          <w:p w14:paraId="472E9250"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60AFEA2E"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57B7E38A"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44A11680"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72E8FF85"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6F9F750B"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535A1E35" w14:textId="77777777" w:rsidR="00DD6D4B" w:rsidRPr="003B5514" w:rsidRDefault="00DD6D4B" w:rsidP="00DD6D4B">
            <w:pPr>
              <w:rPr>
                <w:rFonts w:ascii="Calibri" w:hAnsi="Calibri"/>
                <w:sz w:val="20"/>
                <w:szCs w:val="20"/>
                <w:lang w:val="tr-TR"/>
              </w:rPr>
            </w:pPr>
          </w:p>
        </w:tc>
        <w:tc>
          <w:tcPr>
            <w:tcW w:w="0" w:type="auto"/>
            <w:noWrap/>
            <w:tcMar>
              <w:top w:w="15" w:type="dxa"/>
              <w:left w:w="15" w:type="dxa"/>
              <w:bottom w:w="0" w:type="dxa"/>
              <w:right w:w="15" w:type="dxa"/>
            </w:tcMar>
            <w:vAlign w:val="bottom"/>
            <w:hideMark/>
          </w:tcPr>
          <w:p w14:paraId="4345B0CB" w14:textId="77777777" w:rsidR="00DD6D4B" w:rsidRPr="003B5514" w:rsidRDefault="00DD6D4B" w:rsidP="00DD6D4B">
            <w:pPr>
              <w:rPr>
                <w:rFonts w:ascii="Calibri" w:hAnsi="Calibri"/>
                <w:sz w:val="20"/>
                <w:szCs w:val="20"/>
                <w:lang w:val="tr-TR"/>
              </w:rPr>
            </w:pPr>
          </w:p>
        </w:tc>
      </w:tr>
      <w:tr w:rsidR="00DD6D4B" w:rsidRPr="003B5514" w14:paraId="59A6F45D"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7B19A927"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Yıl</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227B3043"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İhracat $ / Bin</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6AF72DD0"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İhracat Değişim %</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27A57C99"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Genel İhracata Oranı %</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12A9D320"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İthalat $ / Bin</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1815286D"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İthalat Değişim %</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7EBCA11B"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Genel İthalata Oranı %</w:t>
            </w:r>
          </w:p>
        </w:tc>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257D7BE7"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Hacim $ / Bin</w:t>
            </w:r>
          </w:p>
        </w:tc>
        <w:tc>
          <w:tcPr>
            <w:tcW w:w="0" w:type="auto"/>
            <w:tcBorders>
              <w:top w:val="single" w:sz="8" w:space="0" w:color="979991"/>
              <w:left w:val="single" w:sz="8" w:space="0" w:color="979991"/>
              <w:bottom w:val="nil"/>
              <w:right w:val="single" w:sz="8" w:space="0" w:color="979991"/>
            </w:tcBorders>
            <w:shd w:val="clear" w:color="auto" w:fill="F0F4FA"/>
            <w:noWrap/>
            <w:tcMar>
              <w:top w:w="15" w:type="dxa"/>
              <w:left w:w="15" w:type="dxa"/>
              <w:bottom w:w="0" w:type="dxa"/>
              <w:right w:w="15" w:type="dxa"/>
            </w:tcMar>
            <w:hideMark/>
          </w:tcPr>
          <w:p w14:paraId="5A070064"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Denge $ / Bin</w:t>
            </w:r>
          </w:p>
        </w:tc>
      </w:tr>
      <w:tr w:rsidR="00DD6D4B" w:rsidRPr="003B5514" w14:paraId="1BB910F3"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74F96D2C"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2007</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FDE259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229.914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2854442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88,6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3C77E82"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0,21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74D221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1.172.669</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52260B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25,4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2E43BF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0,69</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8DC7DFF"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1.402.583</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5DDA534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-942.756</w:t>
            </w:r>
          </w:p>
        </w:tc>
      </w:tr>
      <w:tr w:rsidR="00DD6D4B" w:rsidRPr="003B5514" w14:paraId="2CCF8F67"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25CC0B6D"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2008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FDF239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318.027</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E64831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38,3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106B8AB"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0,24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9E73662"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1.423.868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361E4BA2"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21,4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34858C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0,71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98366DF"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1.741.895</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510E4DE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-1.105.840</w:t>
            </w:r>
          </w:p>
        </w:tc>
      </w:tr>
      <w:tr w:rsidR="00DD6D4B" w:rsidRPr="003B5514" w14:paraId="6E9ABB49"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31BD3F41"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2009</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4307C7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388.244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324225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22,1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C4580FF"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0,38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172B557"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1.105.890</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68A3AA7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-22,3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9CE70BD"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0,78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2FC7EBA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1.494.134</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23A7920D"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-717.646</w:t>
            </w:r>
          </w:p>
        </w:tc>
      </w:tr>
      <w:tr w:rsidR="00DD6D4B" w:rsidRPr="003B5514" w14:paraId="0053898B"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410FD30F"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2010</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720C3E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614.551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F07A25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58,3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2EC03B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0,54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357D6C7"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1.347.525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BD772D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21,8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35CDD1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0,73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C9AD6C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1.962.076</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5B2D9FAD"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-732.974</w:t>
            </w:r>
          </w:p>
        </w:tc>
      </w:tr>
      <w:tr w:rsidR="00DD6D4B" w:rsidRPr="003B5514" w14:paraId="5BC02373"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1FD036DF"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1D5C449"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883.471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0D7DA0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43,8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3D3BFD2"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0,65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D729222"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2.074.354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F5D210E"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53,9</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2C9F5E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0,86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8EC1E6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2.957.825</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4557FE3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-1.190.883</w:t>
            </w:r>
          </w:p>
        </w:tc>
      </w:tr>
      <w:tr w:rsidR="00DD6D4B" w:rsidRPr="003B5514" w14:paraId="323F3E22"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751CD7B4"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E8C07ED"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1.002.759</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D1912E6"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13,5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5F6C88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0,66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377723F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1.770.094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70AB23B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-14,7</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0867979"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0,75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1EF0E2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2.772.854</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7AFF612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-767.335</w:t>
            </w:r>
          </w:p>
        </w:tc>
      </w:tr>
      <w:tr w:rsidR="00DD6D4B" w:rsidRPr="003B5514" w14:paraId="5F41EBC5"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3F3F68E8"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EA85BD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936.096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1BD8B6A7"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-6,6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3E3F34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0,62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3AF8664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1.408.806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66794F5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-20,4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6E5C5B9"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0,56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7DF337B"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2.344.902</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58C6D76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-472.710</w:t>
            </w:r>
          </w:p>
        </w:tc>
      </w:tr>
      <w:tr w:rsidR="00DD6D4B" w:rsidRPr="003B5514" w14:paraId="3D342367"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7EFED99A"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1EEDE83"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794.186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13DAFAEB"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-15,2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52D8CD1B"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0,50</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241667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1.728.745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203CA8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22,7</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67D6FD6"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0,71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53859EE"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2.522.932</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0DDEF39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-934.559</w:t>
            </w:r>
          </w:p>
        </w:tc>
      </w:tr>
      <w:tr w:rsidR="00DD6D4B" w:rsidRPr="003B5514" w14:paraId="1238C198"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143EF2B3"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DF16D0E"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458.367</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41F19C7C"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-42,3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D0D183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0,32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2A65CCCB"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1.792.241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1E6E5C3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3,7</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AD3927B"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0,86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1A7218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2.250.608</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33BDC4EF"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-1.333.875</w:t>
            </w:r>
          </w:p>
        </w:tc>
      </w:tr>
      <w:tr w:rsidR="00DD6D4B" w:rsidRPr="003B5514" w14:paraId="2FB0C4EB"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2667A39C"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2016</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0FC64C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333.741</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1DB2D64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-27,2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0D2125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0,23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61588B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1.788.012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hideMark/>
          </w:tcPr>
          <w:p w14:paraId="4329AB1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-0,2</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309490EE"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0,90</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E88C790"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2.121.754</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705CB5A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-1.454.271</w:t>
            </w:r>
          </w:p>
        </w:tc>
      </w:tr>
      <w:tr w:rsidR="00DD6D4B" w:rsidRPr="003B5514" w14:paraId="3B6C7938" w14:textId="77777777" w:rsidTr="00DD6D4B">
        <w:trPr>
          <w:trHeight w:val="237"/>
        </w:trPr>
        <w:tc>
          <w:tcPr>
            <w:tcW w:w="0" w:type="auto"/>
            <w:tcBorders>
              <w:top w:val="single" w:sz="8" w:space="0" w:color="979991"/>
              <w:left w:val="single" w:sz="8" w:space="0" w:color="979991"/>
              <w:bottom w:val="nil"/>
              <w:right w:val="nil"/>
            </w:tcBorders>
            <w:shd w:val="clear" w:color="auto" w:fill="F0F4FA"/>
            <w:noWrap/>
            <w:tcMar>
              <w:top w:w="15" w:type="dxa"/>
              <w:left w:w="15" w:type="dxa"/>
              <w:bottom w:w="0" w:type="dxa"/>
              <w:right w:w="15" w:type="dxa"/>
            </w:tcMar>
            <w:hideMark/>
          </w:tcPr>
          <w:p w14:paraId="2B7F46B6"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 xml:space="preserve">2017 </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CC877B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384.904</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41A50816"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15,3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733409B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0,25</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2E655D2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2.544.928</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01B3EA34"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42,3</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6E2C8D7A"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1,09</w:t>
            </w:r>
          </w:p>
        </w:tc>
        <w:tc>
          <w:tcPr>
            <w:tcW w:w="0" w:type="auto"/>
            <w:tcBorders>
              <w:top w:val="single" w:sz="8" w:space="0" w:color="979991"/>
              <w:left w:val="single" w:sz="8" w:space="0" w:color="979991"/>
              <w:bottom w:val="nil"/>
              <w:right w:val="nil"/>
            </w:tcBorders>
            <w:shd w:val="clear" w:color="auto" w:fill="FFFFFF"/>
            <w:noWrap/>
            <w:tcMar>
              <w:top w:w="15" w:type="dxa"/>
              <w:left w:w="15" w:type="dxa"/>
              <w:bottom w:w="0" w:type="dxa"/>
              <w:right w:w="15" w:type="dxa"/>
            </w:tcMar>
            <w:vAlign w:val="center"/>
            <w:hideMark/>
          </w:tcPr>
          <w:p w14:paraId="3E3C7131"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2.929.832</w:t>
            </w:r>
          </w:p>
        </w:tc>
        <w:tc>
          <w:tcPr>
            <w:tcW w:w="0" w:type="auto"/>
            <w:tcBorders>
              <w:top w:val="single" w:sz="8" w:space="0" w:color="979991"/>
              <w:left w:val="single" w:sz="8" w:space="0" w:color="979991"/>
              <w:bottom w:val="nil"/>
              <w:right w:val="single" w:sz="8" w:space="0" w:color="979991"/>
            </w:tcBorders>
            <w:shd w:val="clear" w:color="auto" w:fill="FFFFFF"/>
            <w:noWrap/>
            <w:tcMar>
              <w:top w:w="15" w:type="dxa"/>
              <w:left w:w="15" w:type="dxa"/>
              <w:bottom w:w="0" w:type="dxa"/>
              <w:right w:w="15" w:type="dxa"/>
            </w:tcMar>
            <w:vAlign w:val="center"/>
            <w:hideMark/>
          </w:tcPr>
          <w:p w14:paraId="2FCF368D"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-2.160.024</w:t>
            </w:r>
          </w:p>
        </w:tc>
      </w:tr>
      <w:tr w:rsidR="00DD6D4B" w:rsidRPr="003B5514" w14:paraId="155A5629" w14:textId="77777777" w:rsidTr="00DD6D4B">
        <w:trPr>
          <w:trHeight w:val="237"/>
        </w:trPr>
        <w:tc>
          <w:tcPr>
            <w:tcW w:w="0" w:type="auto"/>
            <w:tcBorders>
              <w:top w:val="single" w:sz="8" w:space="0" w:color="979991"/>
              <w:left w:val="single" w:sz="8" w:space="0" w:color="979991"/>
              <w:bottom w:val="single" w:sz="8" w:space="0" w:color="979991"/>
              <w:right w:val="nil"/>
            </w:tcBorders>
            <w:shd w:val="clear" w:color="auto" w:fill="F0F4FA"/>
            <w:noWrap/>
            <w:tcMar>
              <w:top w:w="15" w:type="dxa"/>
              <w:left w:w="15" w:type="dxa"/>
              <w:bottom w:w="0" w:type="dxa"/>
              <w:right w:w="15" w:type="dxa"/>
            </w:tcMar>
            <w:hideMark/>
          </w:tcPr>
          <w:p w14:paraId="4B732373" w14:textId="77777777" w:rsidR="00DD6D4B" w:rsidRPr="003B5514" w:rsidRDefault="00DD6D4B" w:rsidP="00DD6D4B">
            <w:pPr>
              <w:rPr>
                <w:rFonts w:ascii="Calibri" w:hAnsi="Calibri" w:cs="Calibri"/>
                <w:color w:val="000000"/>
                <w:sz w:val="16"/>
                <w:szCs w:val="16"/>
              </w:rPr>
            </w:pPr>
            <w:r w:rsidRPr="003B5514">
              <w:rPr>
                <w:rFonts w:ascii="Calibri" w:hAnsi="Calibri" w:cs="Calibri"/>
                <w:color w:val="000000"/>
                <w:sz w:val="16"/>
                <w:szCs w:val="16"/>
              </w:rPr>
              <w:t xml:space="preserve">2018 </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1B23BEE8"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489.543</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455F92BD"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27,2</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7E8D28EF"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0,29</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0868559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3.257.706</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25A7F93E"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28,0</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3811774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1,46</w:t>
            </w:r>
          </w:p>
        </w:tc>
        <w:tc>
          <w:tcPr>
            <w:tcW w:w="0" w:type="auto"/>
            <w:tcBorders>
              <w:top w:val="single" w:sz="8" w:space="0" w:color="979991"/>
              <w:left w:val="single" w:sz="8" w:space="0" w:color="979991"/>
              <w:bottom w:val="single" w:sz="8" w:space="0" w:color="979991"/>
              <w:right w:val="nil"/>
            </w:tcBorders>
            <w:shd w:val="clear" w:color="auto" w:fill="FFFFFF"/>
            <w:noWrap/>
            <w:tcMar>
              <w:top w:w="15" w:type="dxa"/>
              <w:left w:w="15" w:type="dxa"/>
              <w:bottom w:w="0" w:type="dxa"/>
              <w:right w:w="15" w:type="dxa"/>
            </w:tcMar>
            <w:vAlign w:val="center"/>
            <w:hideMark/>
          </w:tcPr>
          <w:p w14:paraId="1119714E"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3.747.249</w:t>
            </w:r>
          </w:p>
        </w:tc>
        <w:tc>
          <w:tcPr>
            <w:tcW w:w="0" w:type="auto"/>
            <w:tcBorders>
              <w:top w:val="single" w:sz="8" w:space="0" w:color="979991"/>
              <w:left w:val="single" w:sz="8" w:space="0" w:color="979991"/>
              <w:bottom w:val="single" w:sz="8" w:space="0" w:color="979991"/>
              <w:right w:val="single" w:sz="8" w:space="0" w:color="979991"/>
            </w:tcBorders>
            <w:shd w:val="clear" w:color="auto" w:fill="FFFFFF"/>
            <w:noWrap/>
            <w:tcMar>
              <w:top w:w="15" w:type="dxa"/>
              <w:left w:w="15" w:type="dxa"/>
              <w:bottom w:w="0" w:type="dxa"/>
              <w:right w:w="15" w:type="dxa"/>
            </w:tcMar>
            <w:vAlign w:val="center"/>
            <w:hideMark/>
          </w:tcPr>
          <w:p w14:paraId="181C6BA5" w14:textId="77777777" w:rsidR="00DD6D4B" w:rsidRPr="003B5514" w:rsidRDefault="00DD6D4B" w:rsidP="00DD6D4B">
            <w:pPr>
              <w:jc w:val="center"/>
              <w:rPr>
                <w:rFonts w:ascii="Calibri" w:hAnsi="Calibri" w:cs="Calibri"/>
                <w:color w:val="000000"/>
                <w:sz w:val="16"/>
                <w:szCs w:val="16"/>
              </w:rPr>
            </w:pPr>
            <w:r w:rsidRPr="003B5514">
              <w:rPr>
                <w:rFonts w:ascii="Calibri" w:hAnsi="Calibri" w:cs="Calibri"/>
                <w:color w:val="000000"/>
                <w:sz w:val="16"/>
                <w:szCs w:val="16"/>
              </w:rPr>
              <w:t>-2.768.163</w:t>
            </w:r>
          </w:p>
        </w:tc>
      </w:tr>
    </w:tbl>
    <w:p w14:paraId="103A7C95" w14:textId="77777777" w:rsidR="00DD6D4B" w:rsidRDefault="00DD6D4B" w:rsidP="009B29CC">
      <w:pPr>
        <w:jc w:val="both"/>
        <w:rPr>
          <w:lang w:val="tr-TR"/>
        </w:rPr>
      </w:pPr>
    </w:p>
    <w:p w14:paraId="18E91849" w14:textId="77777777" w:rsidR="00DD6D4B" w:rsidRDefault="00DD6D4B" w:rsidP="009B29CC">
      <w:pPr>
        <w:jc w:val="both"/>
        <w:rPr>
          <w:lang w:val="tr-TR"/>
        </w:rPr>
      </w:pPr>
    </w:p>
    <w:p w14:paraId="04F8DD51" w14:textId="77777777" w:rsidR="00DD6D4B" w:rsidRDefault="00DD6D4B" w:rsidP="009B29CC">
      <w:pPr>
        <w:jc w:val="both"/>
        <w:rPr>
          <w:lang w:val="tr-TR"/>
        </w:rPr>
      </w:pPr>
    </w:p>
    <w:p w14:paraId="2ACF3857" w14:textId="77777777" w:rsidR="00DD6D4B" w:rsidRDefault="00DD6D4B" w:rsidP="009B29CC">
      <w:pPr>
        <w:jc w:val="both"/>
        <w:rPr>
          <w:lang w:val="tr-TR"/>
        </w:rPr>
      </w:pPr>
    </w:p>
    <w:p w14:paraId="278DEC46" w14:textId="77777777" w:rsidR="00DD6D4B" w:rsidRDefault="00DD6D4B" w:rsidP="009B29CC">
      <w:pPr>
        <w:jc w:val="both"/>
        <w:rPr>
          <w:lang w:val="tr-TR"/>
        </w:rPr>
      </w:pPr>
    </w:p>
    <w:p w14:paraId="53232FDE" w14:textId="77777777" w:rsidR="00DD6D4B" w:rsidRDefault="00DD6D4B" w:rsidP="009B29CC">
      <w:pPr>
        <w:jc w:val="both"/>
        <w:rPr>
          <w:lang w:val="tr-TR"/>
        </w:rPr>
      </w:pPr>
    </w:p>
    <w:p w14:paraId="253433BF" w14:textId="77777777" w:rsidR="00DD6D4B" w:rsidRDefault="00DD6D4B" w:rsidP="009B29CC">
      <w:pPr>
        <w:jc w:val="both"/>
        <w:rPr>
          <w:lang w:val="tr-TR"/>
        </w:rPr>
      </w:pPr>
    </w:p>
    <w:p w14:paraId="6C2A34FA" w14:textId="77777777" w:rsidR="00DD6D4B" w:rsidRDefault="00DD6D4B" w:rsidP="009B29CC">
      <w:pPr>
        <w:jc w:val="both"/>
        <w:rPr>
          <w:lang w:val="tr-TR"/>
        </w:rPr>
      </w:pPr>
    </w:p>
    <w:p w14:paraId="569A6024" w14:textId="77777777" w:rsidR="00DD6D4B" w:rsidRDefault="00DD6D4B" w:rsidP="009B29CC">
      <w:pPr>
        <w:jc w:val="both"/>
        <w:rPr>
          <w:lang w:val="tr-TR"/>
        </w:rPr>
      </w:pPr>
    </w:p>
    <w:p w14:paraId="4169E8E4" w14:textId="77777777" w:rsidR="00DD6D4B" w:rsidRDefault="00DD6D4B" w:rsidP="009B29CC">
      <w:pPr>
        <w:jc w:val="both"/>
        <w:rPr>
          <w:lang w:val="tr-TR"/>
        </w:rPr>
      </w:pPr>
    </w:p>
    <w:p w14:paraId="1BFCB9E1" w14:textId="77777777" w:rsidR="00DD6D4B" w:rsidRDefault="00DD6D4B" w:rsidP="009B29CC">
      <w:pPr>
        <w:jc w:val="both"/>
        <w:rPr>
          <w:lang w:val="tr-TR"/>
        </w:rPr>
      </w:pPr>
    </w:p>
    <w:p w14:paraId="3A58B1A7" w14:textId="17185835" w:rsidR="009B29CC" w:rsidRDefault="009B29CC" w:rsidP="009B29CC">
      <w:pPr>
        <w:jc w:val="both"/>
        <w:rPr>
          <w:lang w:val="tr-TR"/>
        </w:rPr>
      </w:pPr>
      <w:r w:rsidRPr="009B29CC">
        <w:rPr>
          <w:lang w:val="tr-TR"/>
        </w:rPr>
        <w:t xml:space="preserve">2018 yılında Brezilya’ya ihracatımız önceki yıla kıyasla %27,2 </w:t>
      </w:r>
      <w:r>
        <w:rPr>
          <w:lang w:val="tr-TR"/>
        </w:rPr>
        <w:t>artarak son 6 yıldaki en büyük artışı yakalamış ve</w:t>
      </w:r>
      <w:r w:rsidRPr="009B29CC">
        <w:rPr>
          <w:lang w:val="tr-TR"/>
        </w:rPr>
        <w:t xml:space="preserve"> 490 milyon dolar</w:t>
      </w:r>
      <w:r>
        <w:rPr>
          <w:lang w:val="tr-TR"/>
        </w:rPr>
        <w:t xml:space="preserve"> olmuştur.</w:t>
      </w:r>
      <w:r w:rsidRPr="009B29CC">
        <w:rPr>
          <w:lang w:val="tr-TR"/>
        </w:rPr>
        <w:t xml:space="preserve"> Brezilya’dan ithalatımız ise %28 artışla 3,3 milyar dolar olmuş; böylece ikili ticaret hacmimiz 3,7 milyar dolara ulaşmıştır.</w:t>
      </w:r>
      <w:r>
        <w:rPr>
          <w:lang w:val="tr-TR"/>
        </w:rPr>
        <w:t xml:space="preserve"> Ancak, i</w:t>
      </w:r>
      <w:r w:rsidRPr="009B29CC">
        <w:rPr>
          <w:lang w:val="tr-TR"/>
        </w:rPr>
        <w:t xml:space="preserve">ki ülke arasındaki ticaret hacminde meydana gelen </w:t>
      </w:r>
      <w:r w:rsidR="00BD7539" w:rsidRPr="009B29CC">
        <w:rPr>
          <w:lang w:val="tr-TR"/>
        </w:rPr>
        <w:t>artı</w:t>
      </w:r>
      <w:r w:rsidR="005F22B8">
        <w:rPr>
          <w:lang w:val="tr-TR"/>
        </w:rPr>
        <w:t xml:space="preserve">ş, </w:t>
      </w:r>
      <w:r w:rsidRPr="009B29CC">
        <w:rPr>
          <w:lang w:val="tr-TR"/>
        </w:rPr>
        <w:t xml:space="preserve">ülkemiz aleyhine cereyan </w:t>
      </w:r>
      <w:r>
        <w:rPr>
          <w:lang w:val="tr-TR"/>
        </w:rPr>
        <w:t>etmektedir.</w:t>
      </w:r>
    </w:p>
    <w:p w14:paraId="16F15620" w14:textId="6A6CA572" w:rsidR="00DD6D4B" w:rsidRPr="00DD6D4B" w:rsidRDefault="00DD6D4B" w:rsidP="00013708">
      <w:pPr>
        <w:jc w:val="both"/>
        <w:rPr>
          <w:b/>
          <w:lang w:val="tr-TR"/>
        </w:rPr>
      </w:pPr>
      <w:r w:rsidRPr="00DD6D4B">
        <w:rPr>
          <w:b/>
          <w:lang w:val="tr-TR"/>
        </w:rPr>
        <w:t>Brezilya Pazarına Girişteki Engeller</w:t>
      </w:r>
    </w:p>
    <w:p w14:paraId="73C533DA" w14:textId="77777777" w:rsidR="00DD6D4B" w:rsidRPr="00FA1AE0" w:rsidRDefault="007F4A20" w:rsidP="00FA1AE0">
      <w:pPr>
        <w:pStyle w:val="ListParagraph"/>
        <w:numPr>
          <w:ilvl w:val="0"/>
          <w:numId w:val="4"/>
        </w:numPr>
        <w:jc w:val="both"/>
        <w:rPr>
          <w:lang w:val="tr-TR"/>
        </w:rPr>
      </w:pPr>
      <w:r w:rsidRPr="00FA1AE0">
        <w:rPr>
          <w:lang w:val="tr-TR"/>
        </w:rPr>
        <w:t xml:space="preserve">Brezilya’nın yüksek gümrük vergileri; </w:t>
      </w:r>
    </w:p>
    <w:p w14:paraId="4735F6FB" w14:textId="4987E9D0" w:rsidR="00DD6D4B" w:rsidRPr="00FA1AE0" w:rsidRDefault="00FA1AE0" w:rsidP="00FA1AE0">
      <w:pPr>
        <w:pStyle w:val="ListParagraph"/>
        <w:numPr>
          <w:ilvl w:val="0"/>
          <w:numId w:val="4"/>
        </w:numPr>
        <w:jc w:val="both"/>
        <w:rPr>
          <w:lang w:val="tr-TR"/>
        </w:rPr>
      </w:pPr>
      <w:r w:rsidRPr="00FA1AE0">
        <w:rPr>
          <w:lang w:val="tr-TR"/>
        </w:rPr>
        <w:t xml:space="preserve">İthalat </w:t>
      </w:r>
      <w:r w:rsidR="007F4A20" w:rsidRPr="00FA1AE0">
        <w:rPr>
          <w:lang w:val="tr-TR"/>
        </w:rPr>
        <w:t xml:space="preserve">üzerinden </w:t>
      </w:r>
      <w:r w:rsidR="00A8680A" w:rsidRPr="00FA1AE0">
        <w:rPr>
          <w:lang w:val="tr-TR"/>
        </w:rPr>
        <w:t xml:space="preserve">alınan </w:t>
      </w:r>
      <w:r w:rsidR="007F4A20" w:rsidRPr="00FA1AE0">
        <w:rPr>
          <w:lang w:val="tr-TR"/>
        </w:rPr>
        <w:t>sosyal entegrasyon programı fonu (PIS), sosyal güvenlik finansmanına katkı fonu (COFINS), sanayileşmiş ürün vergisi (IPI) ve katma değer vergisi (IC</w:t>
      </w:r>
      <w:r w:rsidR="00514B22" w:rsidRPr="00FA1AE0">
        <w:rPr>
          <w:lang w:val="tr-TR"/>
        </w:rPr>
        <w:t>M</w:t>
      </w:r>
      <w:r w:rsidR="007F4A20" w:rsidRPr="00FA1AE0">
        <w:rPr>
          <w:lang w:val="tr-TR"/>
        </w:rPr>
        <w:t xml:space="preserve">S) </w:t>
      </w:r>
      <w:r w:rsidR="00A8680A" w:rsidRPr="00FA1AE0">
        <w:rPr>
          <w:lang w:val="tr-TR"/>
        </w:rPr>
        <w:t xml:space="preserve">gibi </w:t>
      </w:r>
      <w:r w:rsidR="007F4A20" w:rsidRPr="00FA1AE0">
        <w:rPr>
          <w:lang w:val="tr-TR"/>
        </w:rPr>
        <w:t xml:space="preserve">iç vergiler; </w:t>
      </w:r>
    </w:p>
    <w:p w14:paraId="7968AE75" w14:textId="6C37073A" w:rsidR="00FA1AE0" w:rsidRPr="00FA1AE0" w:rsidRDefault="00FA1AE0" w:rsidP="00FA1AE0">
      <w:pPr>
        <w:pStyle w:val="ListParagraph"/>
        <w:numPr>
          <w:ilvl w:val="0"/>
          <w:numId w:val="4"/>
        </w:numPr>
        <w:jc w:val="both"/>
        <w:rPr>
          <w:lang w:val="tr-TR"/>
        </w:rPr>
      </w:pPr>
      <w:r w:rsidRPr="00FA1AE0">
        <w:rPr>
          <w:lang w:val="tr-TR"/>
        </w:rPr>
        <w:t xml:space="preserve">İthal </w:t>
      </w:r>
      <w:r w:rsidR="007F4A20" w:rsidRPr="00FA1AE0">
        <w:rPr>
          <w:lang w:val="tr-TR"/>
        </w:rPr>
        <w:t>edilen pek çok üründe istenen sertifikasyon (insan sağlığını ilgilendiren ürünlerde Ulusal Sağlık Gözetimi Ajansı (ANVISA) izni; elektrikli ve medikal ürünler, oyuncaklar, otomotiv yedek parçaları, lastikler, mobilyalarda Metroloji, Standardizasyon ve Sınai Kalite Enstitüsü (INMETRO) sertifikası; tarım ve gıda ürünlerinde Tarım, Hayvancılık ve Gıda Bakanlığı izni)</w:t>
      </w:r>
      <w:r w:rsidR="00A8680A" w:rsidRPr="00FA1AE0">
        <w:rPr>
          <w:lang w:val="tr-TR"/>
        </w:rPr>
        <w:t>;</w:t>
      </w:r>
    </w:p>
    <w:p w14:paraId="7033BD85" w14:textId="7756C0F0" w:rsidR="00FA1AE0" w:rsidRPr="00FA1AE0" w:rsidRDefault="00FA1AE0" w:rsidP="00FA1AE0">
      <w:pPr>
        <w:pStyle w:val="ListParagraph"/>
        <w:numPr>
          <w:ilvl w:val="0"/>
          <w:numId w:val="4"/>
        </w:numPr>
        <w:jc w:val="both"/>
        <w:rPr>
          <w:lang w:val="tr-TR"/>
        </w:rPr>
      </w:pPr>
      <w:r w:rsidRPr="00FA1AE0">
        <w:rPr>
          <w:lang w:val="tr-TR"/>
        </w:rPr>
        <w:t xml:space="preserve">İthalat </w:t>
      </w:r>
      <w:r w:rsidR="00A8680A" w:rsidRPr="00FA1AE0">
        <w:rPr>
          <w:lang w:val="tr-TR"/>
        </w:rPr>
        <w:t xml:space="preserve">yapmak için şirketlerin RADAR denilen ithalat lisansına sahip olması şartı; Brezilya pazarına girişi zorlaştıran etmenlerin başında gelmektedir. </w:t>
      </w:r>
    </w:p>
    <w:p w14:paraId="6E369FA2" w14:textId="6A7D9E6D" w:rsidR="00CC44D3" w:rsidRDefault="00A8680A" w:rsidP="00013708">
      <w:pPr>
        <w:jc w:val="both"/>
        <w:rPr>
          <w:lang w:val="tr-TR"/>
        </w:rPr>
      </w:pPr>
      <w:r>
        <w:rPr>
          <w:lang w:val="tr-TR"/>
        </w:rPr>
        <w:t>Üstelik MERCOSUR, ALADI gibi ticaret entegrasyonları ile Güney Amerika ülkelerine uygulanan vergi avantajlarının yanı sıra Brezilya tarafından geleneksel olarak ithalatta komşu ülkelere öncelik verilmesini savunan “</w:t>
      </w:r>
      <w:r w:rsidRPr="00A8680A">
        <w:rPr>
          <w:lang w:val="tr-TR"/>
        </w:rPr>
        <w:t>Rekabete Dayalı İthal İkame Programı</w:t>
      </w:r>
      <w:r>
        <w:rPr>
          <w:lang w:val="tr-TR"/>
        </w:rPr>
        <w:t xml:space="preserve"> (PSCI)” gibi politikalar izlenmektedir. </w:t>
      </w:r>
    </w:p>
    <w:p w14:paraId="5F817E4A" w14:textId="77777777" w:rsidR="00FA1AE0" w:rsidRPr="00DD6D4B" w:rsidRDefault="00FA1AE0" w:rsidP="00FA1AE0">
      <w:pPr>
        <w:jc w:val="both"/>
        <w:rPr>
          <w:b/>
          <w:lang w:val="tr-TR"/>
        </w:rPr>
      </w:pPr>
      <w:r w:rsidRPr="00DD6D4B">
        <w:rPr>
          <w:b/>
          <w:lang w:val="tr-TR"/>
        </w:rPr>
        <w:t>Brezilya’ya İhraç Potansiyelimiz Olan Ürünler</w:t>
      </w:r>
    </w:p>
    <w:p w14:paraId="4096F1C7" w14:textId="2C959585" w:rsidR="001A3B50" w:rsidRDefault="00CE371E" w:rsidP="00013708">
      <w:pPr>
        <w:jc w:val="both"/>
        <w:rPr>
          <w:lang w:val="tr-TR"/>
        </w:rPr>
      </w:pPr>
      <w:r>
        <w:rPr>
          <w:lang w:val="tr-TR"/>
        </w:rPr>
        <w:t>Brezilya’ya ihracatımızda</w:t>
      </w:r>
      <w:r w:rsidR="00BA03F3">
        <w:rPr>
          <w:lang w:val="tr-TR"/>
        </w:rPr>
        <w:t xml:space="preserve"> aşağıdaki ür</w:t>
      </w:r>
      <w:r w:rsidR="00BA03F3" w:rsidRPr="001A3B50">
        <w:rPr>
          <w:lang w:val="tr-TR"/>
        </w:rPr>
        <w:t>ün sınıflarında Brezilya’ya ihracat potansiyelimiz olduğu değerlendirilmektedir.</w:t>
      </w:r>
      <w:r>
        <w:rPr>
          <w:lang w:val="tr-TR"/>
        </w:rPr>
        <w:t xml:space="preserve"> </w:t>
      </w:r>
    </w:p>
    <w:p w14:paraId="374EA3DD" w14:textId="246B651F" w:rsidR="00FA1AE0" w:rsidRPr="00FA1AE0" w:rsidRDefault="001A3B50" w:rsidP="00FA1AE0">
      <w:pPr>
        <w:pStyle w:val="ListParagraph"/>
        <w:numPr>
          <w:ilvl w:val="0"/>
          <w:numId w:val="1"/>
        </w:numPr>
        <w:ind w:left="426"/>
        <w:jc w:val="both"/>
        <w:rPr>
          <w:lang w:val="tr-TR"/>
        </w:rPr>
      </w:pPr>
      <w:r w:rsidRPr="00FA1AE0">
        <w:rPr>
          <w:b/>
          <w:lang w:val="tr-TR"/>
        </w:rPr>
        <w:t xml:space="preserve">Kuru </w:t>
      </w:r>
      <w:r w:rsidR="00E03550" w:rsidRPr="00FA1AE0">
        <w:rPr>
          <w:b/>
          <w:lang w:val="tr-TR"/>
        </w:rPr>
        <w:t xml:space="preserve">ve </w:t>
      </w:r>
      <w:r w:rsidR="00CE371E" w:rsidRPr="00FA1AE0">
        <w:rPr>
          <w:b/>
          <w:lang w:val="tr-TR"/>
        </w:rPr>
        <w:t>meyveler</w:t>
      </w:r>
      <w:r w:rsidRPr="00FA1AE0">
        <w:rPr>
          <w:b/>
          <w:lang w:val="tr-TR"/>
        </w:rPr>
        <w:t xml:space="preserve">: </w:t>
      </w:r>
      <w:r w:rsidR="008E1D68" w:rsidRPr="00B861A0">
        <w:rPr>
          <w:lang w:val="tr-TR"/>
        </w:rPr>
        <w:t>Ülkenin ikliminin büyük ölçüde tropikal olması nedeniyle, ülkemizde yetişen pek çok sebze ve meyve Brezilya’da yetişmemekte ve oldukça yüksek fiyatlarla satılmaktadır. Türkiye, halihazırda Brezilya Tarım Bakanlığı tarafından halihazırda ithalat yetkisi verilmiş olan çok sayıda sebze ürününe sahiptir (tütün, biberiye, fındık, soğan, kimyon, rezene, nohut, mercimek, defne yaprağı, kavun, adaçayı, kekik ve üzüm)</w:t>
      </w:r>
      <w:r w:rsidR="008E1D68">
        <w:rPr>
          <w:lang w:val="tr-TR"/>
        </w:rPr>
        <w:t>.</w:t>
      </w:r>
      <w:r w:rsidRPr="001A3B50">
        <w:rPr>
          <w:lang w:val="tr-TR"/>
        </w:rPr>
        <w:t xml:space="preserve"> </w:t>
      </w:r>
      <w:r w:rsidR="00FA1AE0">
        <w:rPr>
          <w:lang w:val="tr-TR"/>
        </w:rPr>
        <w:t>Öte yandan T</w:t>
      </w:r>
      <w:r w:rsidR="00FA1AE0" w:rsidRPr="00FA1AE0">
        <w:rPr>
          <w:lang w:val="tr-TR"/>
        </w:rPr>
        <w:t xml:space="preserve">ürkiye, Brezilya şirketleri tarafından kuru meyve tedarikçisi olarak tanınmaktadır. 2017 yılında Türkiye, Brezilya ithalatında %45,6 pay ile ilk sırada bulunan MERCOSUR üyesi Arjantin’in ardından, %30,7’lük pay ile ikinci sıra yer almış, ülkemizi %14,3 ile </w:t>
      </w:r>
      <w:proofErr w:type="spellStart"/>
      <w:r w:rsidR="00FA1AE0" w:rsidRPr="00FA1AE0">
        <w:rPr>
          <w:lang w:val="tr-TR"/>
        </w:rPr>
        <w:t>MERCOSUR’a</w:t>
      </w:r>
      <w:proofErr w:type="spellEnd"/>
      <w:r w:rsidR="00FA1AE0" w:rsidRPr="00FA1AE0">
        <w:rPr>
          <w:lang w:val="tr-TR"/>
        </w:rPr>
        <w:t xml:space="preserve"> bağlı Şili izlemiştir. </w:t>
      </w:r>
      <w:bookmarkStart w:id="0" w:name="_Hlk13115"/>
      <w:r w:rsidR="00FA1AE0" w:rsidRPr="00FA1AE0">
        <w:rPr>
          <w:lang w:val="tr-TR"/>
        </w:rPr>
        <w:t xml:space="preserve">Kuru meyvelerin ithalatı Brezilya Tarım Bakanlığı’na tabi olup, kuru meyveler Türkiye’den ithalatı onaylanan ürünler listesinde yer almaktadır. </w:t>
      </w:r>
      <w:bookmarkEnd w:id="0"/>
      <w:r w:rsidR="00FA1AE0" w:rsidRPr="00FA1AE0">
        <w:rPr>
          <w:lang w:val="tr-TR"/>
        </w:rPr>
        <w:t xml:space="preserve">Türkiye’nin kuru meyve </w:t>
      </w:r>
      <w:r w:rsidR="00FA1AE0" w:rsidRPr="00FA1AE0">
        <w:rPr>
          <w:lang w:val="tr-TR"/>
        </w:rPr>
        <w:lastRenderedPageBreak/>
        <w:t xml:space="preserve">ithalatında en iyi bilinen ülkelerden biri olmasının avantajı kullanılabilir ve bu ürün grubunda Brezilya’ya ihracatımız artırılabilir. </w:t>
      </w:r>
    </w:p>
    <w:p w14:paraId="15BE0EE8" w14:textId="77777777" w:rsidR="00FA1AE0" w:rsidRPr="001A3B50" w:rsidRDefault="00FA1AE0" w:rsidP="00FA1AE0">
      <w:pPr>
        <w:pStyle w:val="ListParagraph"/>
        <w:ind w:left="426"/>
        <w:jc w:val="both"/>
        <w:rPr>
          <w:lang w:val="tr-TR"/>
        </w:rPr>
      </w:pPr>
    </w:p>
    <w:p w14:paraId="19AE134A" w14:textId="7094695C" w:rsidR="00FA1AE0" w:rsidRDefault="001A3B50" w:rsidP="00FA1AE0">
      <w:pPr>
        <w:pStyle w:val="ListParagraph"/>
        <w:numPr>
          <w:ilvl w:val="0"/>
          <w:numId w:val="1"/>
        </w:numPr>
        <w:ind w:left="426"/>
        <w:jc w:val="both"/>
        <w:rPr>
          <w:lang w:val="tr-TR"/>
        </w:rPr>
      </w:pPr>
      <w:r w:rsidRPr="00FA1AE0">
        <w:rPr>
          <w:b/>
          <w:lang w:val="tr-TR"/>
        </w:rPr>
        <w:t xml:space="preserve">Buğday </w:t>
      </w:r>
      <w:r w:rsidR="00CE371E" w:rsidRPr="00FA1AE0">
        <w:rPr>
          <w:b/>
          <w:lang w:val="tr-TR"/>
        </w:rPr>
        <w:t>unu</w:t>
      </w:r>
      <w:r w:rsidRPr="00FA1AE0">
        <w:rPr>
          <w:b/>
          <w:lang w:val="tr-TR"/>
        </w:rPr>
        <w:t xml:space="preserve">: </w:t>
      </w:r>
      <w:bookmarkStart w:id="1" w:name="_Hlk13233"/>
      <w:r w:rsidR="00FA1AE0" w:rsidRPr="00FA1AE0">
        <w:rPr>
          <w:lang w:val="tr-TR"/>
        </w:rPr>
        <w:t>Tropik iklimi nedeniyle Brezilya, buğday unu ithalatına bağımlıdır. Arjantin, Paraguay ve Uruguay tarihsel olarak ülkenin en büyük ortakları arasındadır. Bununla birlikte, 2013 yılında Arjantin’de buğday krizi zirveye ulaştığında, Brezilya şirketleri, Türkiye’den yaklaşık 8.000 ton buğday unu ithal ederek, alternatif tedarikçilerle ilgilenmeye başlamışlardır</w:t>
      </w:r>
      <w:bookmarkEnd w:id="1"/>
      <w:r w:rsidR="00FA1AE0" w:rsidRPr="00FA1AE0">
        <w:rPr>
          <w:lang w:val="tr-TR"/>
        </w:rPr>
        <w:t xml:space="preserve">. Bu sayı ertesi yıl 96 tona düşmüş, 2016 yılında ise 241 tona yükselmiştir. Öte yandan 2017 yılında ülkemizden hiç ithalat gerçekleştirilmemiş, Belçika ve İtalya gibi ülkelerden tedarik sağlamıştır. 2017 yılında Brezilya, 408 milyon ton buğday unu ithal ederken, bu miktarın </w:t>
      </w:r>
      <w:proofErr w:type="gramStart"/>
      <w:r w:rsidR="00FA1AE0" w:rsidRPr="00FA1AE0">
        <w:rPr>
          <w:lang w:val="tr-TR"/>
        </w:rPr>
        <w:t>% 89,9</w:t>
      </w:r>
      <w:proofErr w:type="gramEnd"/>
      <w:r w:rsidR="00FA1AE0" w:rsidRPr="00FA1AE0">
        <w:rPr>
          <w:lang w:val="tr-TR"/>
        </w:rPr>
        <w:t>’si yine Arjantin’den temin edilmiştir. Bu çerçevede, 2013 yılında Brezilya’nın Arjantin’den ithal edemediği buğday ununa alternatif olarak ülkemizden ithalat yapmayı seçmesi, ülkemiz ürünlerinin kalitesinin bilindiğine işaret etmektedir. Bu fırsatın değerlendirilmesi ve Brezilya’nın Türkiye’nin yeniden bir buğday unu ihracatçısı olarak görmesi sağlanabilir, diğer ülkelere kıyasla avantaj elde edilebilir.</w:t>
      </w:r>
    </w:p>
    <w:p w14:paraId="377FA761" w14:textId="77777777" w:rsidR="00FA1AE0" w:rsidRPr="00FA1AE0" w:rsidRDefault="00FA1AE0" w:rsidP="00FA1AE0">
      <w:pPr>
        <w:pStyle w:val="ListParagraph"/>
        <w:rPr>
          <w:lang w:val="tr-TR"/>
        </w:rPr>
      </w:pPr>
    </w:p>
    <w:p w14:paraId="39C633EC" w14:textId="77777777" w:rsidR="00FA1AE0" w:rsidRPr="00FA1AE0" w:rsidRDefault="001A3B50" w:rsidP="00FA1AE0">
      <w:pPr>
        <w:pStyle w:val="ListParagraph"/>
        <w:numPr>
          <w:ilvl w:val="0"/>
          <w:numId w:val="1"/>
        </w:numPr>
        <w:ind w:left="426"/>
        <w:jc w:val="both"/>
        <w:rPr>
          <w:lang w:val="tr-TR"/>
        </w:rPr>
      </w:pPr>
      <w:r w:rsidRPr="00FA1AE0">
        <w:rPr>
          <w:b/>
          <w:lang w:val="tr-TR"/>
        </w:rPr>
        <w:t xml:space="preserve">Zeytinyağı: </w:t>
      </w:r>
      <w:r w:rsidR="00FA1AE0" w:rsidRPr="00FA1AE0">
        <w:rPr>
          <w:lang w:val="tr-TR"/>
        </w:rPr>
        <w:t xml:space="preserve">Brezilya’nın en büyük 8. zeytinyağı tedarikçisi olan Türkiye’nin Brezilya’ya zeytinyağı ihracatı 2014 yılında 178 tona ulaşmış, ancak 2015, 206 ve 2017 yıllarında sırasıyla 105 ton, 30 yon ve 69 ton olarak gerçekleşmiştir. </w:t>
      </w:r>
      <w:bookmarkStart w:id="2" w:name="_Hlk13265"/>
      <w:r w:rsidR="00FA1AE0" w:rsidRPr="00FA1AE0">
        <w:rPr>
          <w:lang w:val="tr-TR"/>
        </w:rPr>
        <w:t xml:space="preserve">Brezilya’nın halihazırdaki en büyük tedarikçileri İspanya (%41) ve Portekiz’dir (%36). Türk şirketleri, Brezilya halkı tarafından birinci sınıf (Premium) zeytinyağı olarak algılanan zeytinyağı adı altında ihracat yaparak paylarını artırabilir. </w:t>
      </w:r>
    </w:p>
    <w:bookmarkEnd w:id="2"/>
    <w:p w14:paraId="4C0B984A" w14:textId="77777777" w:rsidR="00FA1AE0" w:rsidRDefault="00FA1AE0" w:rsidP="00FA1AE0">
      <w:pPr>
        <w:pStyle w:val="ListParagraph"/>
        <w:ind w:left="426"/>
        <w:jc w:val="both"/>
        <w:rPr>
          <w:lang w:val="tr-TR"/>
        </w:rPr>
      </w:pPr>
    </w:p>
    <w:p w14:paraId="794B9BA6" w14:textId="0195DFDE" w:rsidR="00FA1AE0" w:rsidRPr="00FA1AE0" w:rsidRDefault="00FA1AE0" w:rsidP="00FA1AE0">
      <w:pPr>
        <w:pStyle w:val="ListParagraph"/>
        <w:numPr>
          <w:ilvl w:val="0"/>
          <w:numId w:val="1"/>
        </w:numPr>
        <w:ind w:left="426"/>
        <w:jc w:val="both"/>
        <w:rPr>
          <w:lang w:val="tr-TR"/>
        </w:rPr>
      </w:pPr>
      <w:r w:rsidRPr="00FA1AE0">
        <w:rPr>
          <w:b/>
          <w:lang w:val="tr-TR"/>
        </w:rPr>
        <w:t>-</w:t>
      </w:r>
      <w:r w:rsidR="001A3B50" w:rsidRPr="00FA1AE0">
        <w:rPr>
          <w:b/>
          <w:lang w:val="tr-TR"/>
        </w:rPr>
        <w:t xml:space="preserve">Gübre: </w:t>
      </w:r>
      <w:r w:rsidRPr="00FA1AE0">
        <w:rPr>
          <w:lang w:val="tr-TR"/>
        </w:rPr>
        <w:t xml:space="preserve">Brezilya büyük ölçüde gübre ithalatına bağımlıdır. 2017 yılında Brezilya dünyadan 7,3 milyar ABD Doları değerinde 26,3 milyon ton gübre ithal etmiştir. 2016 yılındaki 24,4 milyon ton ithalata kıyasla %7,5 oranında bir artışı ifaden bu ithalat miktarı, </w:t>
      </w:r>
      <w:bookmarkStart w:id="3" w:name="_Hlk13312"/>
      <w:r w:rsidRPr="00FA1AE0">
        <w:rPr>
          <w:lang w:val="tr-TR"/>
        </w:rPr>
        <w:t xml:space="preserve">Brezilya’nın yıllık gübre tüketiminin %76’sını </w:t>
      </w:r>
      <w:bookmarkEnd w:id="3"/>
      <w:r w:rsidRPr="00FA1AE0">
        <w:rPr>
          <w:lang w:val="tr-TR"/>
        </w:rPr>
        <w:t xml:space="preserve">oluşturmuştur. Ülkenin gübre üretimi 2016 yılında 9 milyon ton iken, 2017 yılında %9 oranında azalarak 8,2 milyon ton olmuştur. </w:t>
      </w:r>
    </w:p>
    <w:p w14:paraId="4D1AAE84" w14:textId="77777777" w:rsidR="00FA1AE0" w:rsidRDefault="00FA1AE0" w:rsidP="00FA1AE0">
      <w:pPr>
        <w:pStyle w:val="ListParagraph"/>
        <w:ind w:left="426"/>
        <w:jc w:val="both"/>
        <w:rPr>
          <w:lang w:val="tr-TR"/>
        </w:rPr>
      </w:pPr>
    </w:p>
    <w:p w14:paraId="649F2816" w14:textId="5D52D0A2" w:rsidR="00FA1AE0" w:rsidRPr="00FA1AE0" w:rsidRDefault="00FA1AE0" w:rsidP="00FA1AE0">
      <w:pPr>
        <w:pStyle w:val="ListParagraph"/>
        <w:ind w:left="426"/>
        <w:jc w:val="both"/>
        <w:rPr>
          <w:lang w:val="tr-TR"/>
        </w:rPr>
      </w:pPr>
      <w:r w:rsidRPr="00FA1AE0">
        <w:rPr>
          <w:lang w:val="tr-TR"/>
        </w:rPr>
        <w:t xml:space="preserve">Brezilya, 3104 </w:t>
      </w:r>
      <w:proofErr w:type="spellStart"/>
      <w:r w:rsidRPr="00FA1AE0">
        <w:rPr>
          <w:lang w:val="tr-TR"/>
        </w:rPr>
        <w:t>GTİP’inde</w:t>
      </w:r>
      <w:proofErr w:type="spellEnd"/>
      <w:r w:rsidRPr="00FA1AE0">
        <w:rPr>
          <w:lang w:val="tr-TR"/>
        </w:rPr>
        <w:t xml:space="preserve"> sınıflandırılan “Potaslı Mineral veya Kimyasal </w:t>
      </w:r>
      <w:proofErr w:type="spellStart"/>
      <w:r w:rsidRPr="00FA1AE0">
        <w:rPr>
          <w:lang w:val="tr-TR"/>
        </w:rPr>
        <w:t>Gübreler”de</w:t>
      </w:r>
      <w:proofErr w:type="spellEnd"/>
      <w:r w:rsidRPr="00FA1AE0">
        <w:rPr>
          <w:lang w:val="tr-TR"/>
        </w:rPr>
        <w:t xml:space="preserve"> ABD’den sonra dünyadan en fazla ithalat yapan ülke konumundadır (dünya ithalatındaki payı %16,7). 3105 </w:t>
      </w:r>
      <w:proofErr w:type="spellStart"/>
      <w:r w:rsidRPr="00FA1AE0">
        <w:rPr>
          <w:lang w:val="tr-TR"/>
        </w:rPr>
        <w:t>GTİP’inde</w:t>
      </w:r>
      <w:proofErr w:type="spellEnd"/>
      <w:r w:rsidRPr="00FA1AE0">
        <w:rPr>
          <w:lang w:val="tr-TR"/>
        </w:rPr>
        <w:t xml:space="preserve"> sınıflandırılan “Azot, Fosfor ve Potasyumun İkisini veya Üçünü İçeren Mineral veya Kimyasal </w:t>
      </w:r>
      <w:proofErr w:type="spellStart"/>
      <w:r w:rsidRPr="00FA1AE0">
        <w:rPr>
          <w:lang w:val="tr-TR"/>
        </w:rPr>
        <w:t>Gübreler”de</w:t>
      </w:r>
      <w:proofErr w:type="spellEnd"/>
      <w:r w:rsidRPr="00FA1AE0">
        <w:rPr>
          <w:lang w:val="tr-TR"/>
        </w:rPr>
        <w:t xml:space="preserve"> ise en fazla ithalat yapan ülkedir (dünya ithalatındaki payı %11,8).</w:t>
      </w:r>
    </w:p>
    <w:p w14:paraId="5F50F604" w14:textId="77777777" w:rsidR="00FA1AE0" w:rsidRDefault="00FA1AE0" w:rsidP="00FA1AE0">
      <w:pPr>
        <w:pStyle w:val="ListParagraph"/>
        <w:ind w:left="426"/>
        <w:jc w:val="both"/>
        <w:rPr>
          <w:lang w:val="tr-TR"/>
        </w:rPr>
      </w:pPr>
    </w:p>
    <w:p w14:paraId="48D1CCB4" w14:textId="6DBA053D" w:rsidR="00FA1AE0" w:rsidRDefault="00FA1AE0" w:rsidP="00FA1AE0">
      <w:pPr>
        <w:pStyle w:val="ListParagraph"/>
        <w:ind w:left="426"/>
        <w:jc w:val="both"/>
        <w:rPr>
          <w:lang w:val="tr-TR"/>
        </w:rPr>
      </w:pPr>
      <w:r w:rsidRPr="00FA1AE0">
        <w:rPr>
          <w:lang w:val="tr-TR"/>
        </w:rPr>
        <w:t xml:space="preserve">Brezilya 2017 yılında dünyadan 7,3 milyar ABD Doları gübre ithalatı yapmış; Türkiye ise dünyaya 163 milyon ABD Doları ithalat gerçekleştirmiştir. Türkiye’nin gübre ihracatı RCA analizi ile incelendiğinde, analiz sonucu 1’in altında kalmakta (0,3); yani mukayeseli üstünlüğe sahip olduğumuz ürünler arasında görünmemektedir. Öte yandan Türkiye’nin en fazla ithal ettiği gübre türü, Brezilya’nın dünya ithalatında birinci sırada olduğu 3105 </w:t>
      </w:r>
      <w:proofErr w:type="spellStart"/>
      <w:r w:rsidRPr="00FA1AE0">
        <w:rPr>
          <w:lang w:val="tr-TR"/>
        </w:rPr>
        <w:t>GTİP’i</w:t>
      </w:r>
      <w:proofErr w:type="spellEnd"/>
      <w:r w:rsidRPr="00FA1AE0">
        <w:rPr>
          <w:lang w:val="tr-TR"/>
        </w:rPr>
        <w:t xml:space="preserve"> altındaki türdür. 2017 yılında 3105 </w:t>
      </w:r>
      <w:proofErr w:type="spellStart"/>
      <w:r w:rsidRPr="00FA1AE0">
        <w:rPr>
          <w:lang w:val="tr-TR"/>
        </w:rPr>
        <w:t>GTİP’inde</w:t>
      </w:r>
      <w:proofErr w:type="spellEnd"/>
      <w:r w:rsidRPr="00FA1AE0">
        <w:rPr>
          <w:lang w:val="tr-TR"/>
        </w:rPr>
        <w:t xml:space="preserve"> Türkiye’nin dünyaya ihracatı 92,1 milyon ABD Doları iken, Brezilya’ya ihracatı yalnızca 138 bin ABD Doları olmuştur. Bu çerçevede Brezilya’ya ihracatımızın daha büyük bir potansiyeli olduğu düşünülmektedir. </w:t>
      </w:r>
    </w:p>
    <w:p w14:paraId="1467DAD8" w14:textId="77777777" w:rsidR="004463C9" w:rsidRPr="00FA1AE0" w:rsidRDefault="004463C9" w:rsidP="00FA1AE0">
      <w:pPr>
        <w:pStyle w:val="ListParagraph"/>
        <w:ind w:left="426"/>
        <w:jc w:val="both"/>
        <w:rPr>
          <w:lang w:val="tr-TR"/>
        </w:rPr>
      </w:pPr>
    </w:p>
    <w:p w14:paraId="2409B511" w14:textId="77777777" w:rsidR="00FA1AE0" w:rsidRPr="00FA1AE0" w:rsidRDefault="00FA1AE0" w:rsidP="00FA1AE0">
      <w:pPr>
        <w:pStyle w:val="ListParagraph"/>
        <w:ind w:left="426"/>
        <w:jc w:val="both"/>
        <w:rPr>
          <w:lang w:val="tr-TR"/>
        </w:rPr>
      </w:pPr>
      <w:bookmarkStart w:id="4" w:name="_Hlk13330"/>
      <w:r w:rsidRPr="00FA1AE0">
        <w:rPr>
          <w:lang w:val="tr-TR"/>
        </w:rPr>
        <w:t>Gübrelerin Brezilya Tarım Bakanlığına kaydı oldukça basit bir işlemdir ve kayıt işlemi genellikle birkaç hafta içinde tamamlanabilmektedir.</w:t>
      </w:r>
    </w:p>
    <w:bookmarkEnd w:id="4"/>
    <w:p w14:paraId="5930A284" w14:textId="06D37567" w:rsidR="001A3B50" w:rsidRPr="00FA1AE0" w:rsidRDefault="001A3B50" w:rsidP="00FA1AE0">
      <w:pPr>
        <w:pStyle w:val="ListParagraph"/>
        <w:ind w:left="426"/>
        <w:jc w:val="both"/>
        <w:rPr>
          <w:lang w:val="tr-TR"/>
        </w:rPr>
      </w:pPr>
    </w:p>
    <w:p w14:paraId="39D7896E" w14:textId="3FFAE12D" w:rsidR="001A3B50" w:rsidRDefault="001A3B50" w:rsidP="001A3B50">
      <w:pPr>
        <w:pStyle w:val="ListParagraph"/>
        <w:numPr>
          <w:ilvl w:val="0"/>
          <w:numId w:val="1"/>
        </w:numPr>
        <w:ind w:left="426"/>
        <w:jc w:val="both"/>
        <w:rPr>
          <w:lang w:val="tr-TR"/>
        </w:rPr>
      </w:pPr>
      <w:r w:rsidRPr="00FA1AE0">
        <w:rPr>
          <w:b/>
          <w:lang w:val="tr-TR"/>
        </w:rPr>
        <w:t>Çimento:</w:t>
      </w:r>
      <w:r>
        <w:rPr>
          <w:lang w:val="tr-TR"/>
        </w:rPr>
        <w:t xml:space="preserve"> </w:t>
      </w:r>
      <w:r w:rsidRPr="00B861A0">
        <w:rPr>
          <w:lang w:val="tr-TR"/>
        </w:rPr>
        <w:t>Türkiye, İspanya’dan sonra Brezilya’nın ikinci en büyük çimento tedarikçisidir.</w:t>
      </w:r>
      <w:r>
        <w:rPr>
          <w:lang w:val="tr-TR"/>
        </w:rPr>
        <w:t xml:space="preserve"> Ancak Brezilya’da son yıllarda yaşanan hükümet krizleri ve ekonomik durgunluk nedeniyle inşaat sektörünün durma noktasına gelmesi çimento ithalatını azaltmıştır.</w:t>
      </w:r>
      <w:r w:rsidRPr="001A3B50">
        <w:rPr>
          <w:lang w:val="tr-TR"/>
        </w:rPr>
        <w:t xml:space="preserve"> </w:t>
      </w:r>
      <w:r w:rsidR="00514B22">
        <w:rPr>
          <w:lang w:val="tr-TR"/>
        </w:rPr>
        <w:t>Ancak</w:t>
      </w:r>
      <w:r>
        <w:rPr>
          <w:lang w:val="tr-TR"/>
        </w:rPr>
        <w:t xml:space="preserve"> yeni hükümetin </w:t>
      </w:r>
      <w:r w:rsidR="007805FA">
        <w:rPr>
          <w:lang w:val="tr-TR"/>
        </w:rPr>
        <w:t>açıkladığı mega-inşaat projeleri sonucunda</w:t>
      </w:r>
      <w:r w:rsidRPr="001A3B50">
        <w:rPr>
          <w:lang w:val="tr-TR"/>
        </w:rPr>
        <w:t xml:space="preserve">, Türk çimento ihracatçıları, ihracatlarını </w:t>
      </w:r>
      <w:r w:rsidR="003326AE">
        <w:rPr>
          <w:lang w:val="tr-TR"/>
        </w:rPr>
        <w:t xml:space="preserve">yeniden </w:t>
      </w:r>
      <w:r w:rsidRPr="001A3B50">
        <w:rPr>
          <w:lang w:val="tr-TR"/>
        </w:rPr>
        <w:t>artırma fırsatına sahip ola</w:t>
      </w:r>
      <w:r w:rsidR="00514B22">
        <w:rPr>
          <w:lang w:val="tr-TR"/>
        </w:rPr>
        <w:t>bilecektir.</w:t>
      </w:r>
    </w:p>
    <w:p w14:paraId="169D6081" w14:textId="77777777" w:rsidR="00FA1AE0" w:rsidRDefault="00FA1AE0" w:rsidP="00FA1AE0">
      <w:pPr>
        <w:pStyle w:val="ListParagraph"/>
        <w:ind w:left="426"/>
        <w:jc w:val="both"/>
        <w:rPr>
          <w:lang w:val="tr-TR"/>
        </w:rPr>
      </w:pPr>
    </w:p>
    <w:p w14:paraId="1CC014E2" w14:textId="1A60B428" w:rsidR="00853963" w:rsidRDefault="00853963" w:rsidP="00021342">
      <w:pPr>
        <w:pStyle w:val="ListParagraph"/>
        <w:numPr>
          <w:ilvl w:val="0"/>
          <w:numId w:val="1"/>
        </w:numPr>
        <w:ind w:left="426"/>
        <w:jc w:val="both"/>
        <w:rPr>
          <w:lang w:val="tr-TR"/>
        </w:rPr>
      </w:pPr>
      <w:r w:rsidRPr="00FA1AE0">
        <w:rPr>
          <w:b/>
          <w:lang w:val="tr-TR"/>
        </w:rPr>
        <w:t xml:space="preserve">Tekstil </w:t>
      </w:r>
      <w:r w:rsidR="00CE371E" w:rsidRPr="00FA1AE0">
        <w:rPr>
          <w:b/>
          <w:lang w:val="tr-TR"/>
        </w:rPr>
        <w:t>ve konfeksiyon</w:t>
      </w:r>
      <w:r w:rsidRPr="00FA1AE0">
        <w:rPr>
          <w:b/>
          <w:lang w:val="tr-TR"/>
        </w:rPr>
        <w:t>:</w:t>
      </w:r>
      <w:r w:rsidRPr="00853963">
        <w:rPr>
          <w:lang w:val="tr-TR"/>
        </w:rPr>
        <w:t xml:space="preserve"> Brezilya</w:t>
      </w:r>
      <w:r w:rsidR="009279B2">
        <w:rPr>
          <w:lang w:val="tr-TR"/>
        </w:rPr>
        <w:t>,</w:t>
      </w:r>
      <w:r w:rsidR="009279B2" w:rsidRPr="009279B2">
        <w:rPr>
          <w:lang w:val="tr-TR"/>
        </w:rPr>
        <w:t xml:space="preserve"> </w:t>
      </w:r>
      <w:r w:rsidR="009279B2" w:rsidRPr="00853963">
        <w:rPr>
          <w:lang w:val="tr-TR"/>
        </w:rPr>
        <w:t>164 bin milyoner</w:t>
      </w:r>
      <w:r w:rsidR="009279B2">
        <w:rPr>
          <w:lang w:val="tr-TR"/>
        </w:rPr>
        <w:t xml:space="preserve"> ve </w:t>
      </w:r>
      <w:r w:rsidR="009279B2" w:rsidRPr="00853963">
        <w:rPr>
          <w:lang w:val="tr-TR"/>
        </w:rPr>
        <w:t>108 milyon kişi</w:t>
      </w:r>
      <w:r w:rsidR="009279B2">
        <w:rPr>
          <w:lang w:val="tr-TR"/>
        </w:rPr>
        <w:t xml:space="preserve">lik orta sınıfı ile </w:t>
      </w:r>
      <w:r w:rsidRPr="00853963">
        <w:rPr>
          <w:lang w:val="tr-TR"/>
        </w:rPr>
        <w:t xml:space="preserve">büyümek veya mağaza kurmak isteyen lüks markalar için büyük fırsatlar </w:t>
      </w:r>
      <w:r w:rsidR="009279B2">
        <w:rPr>
          <w:lang w:val="tr-TR"/>
        </w:rPr>
        <w:t>sunmaktadır</w:t>
      </w:r>
      <w:r w:rsidRPr="00853963">
        <w:rPr>
          <w:lang w:val="tr-TR"/>
        </w:rPr>
        <w:t xml:space="preserve">. </w:t>
      </w:r>
    </w:p>
    <w:p w14:paraId="22848951" w14:textId="77777777" w:rsidR="00FA1AE0" w:rsidRPr="00FA1AE0" w:rsidRDefault="00FA1AE0" w:rsidP="00FA1AE0">
      <w:pPr>
        <w:pStyle w:val="ListParagraph"/>
        <w:rPr>
          <w:lang w:val="tr-TR"/>
        </w:rPr>
      </w:pPr>
    </w:p>
    <w:p w14:paraId="0FEDE65D" w14:textId="3E486A32" w:rsidR="00853963" w:rsidRDefault="00853963" w:rsidP="001A3B50">
      <w:pPr>
        <w:pStyle w:val="ListParagraph"/>
        <w:numPr>
          <w:ilvl w:val="0"/>
          <w:numId w:val="1"/>
        </w:numPr>
        <w:ind w:left="426"/>
        <w:jc w:val="both"/>
        <w:rPr>
          <w:lang w:val="tr-TR"/>
        </w:rPr>
      </w:pPr>
      <w:r w:rsidRPr="00FA1AE0">
        <w:rPr>
          <w:b/>
          <w:lang w:val="tr-TR"/>
        </w:rPr>
        <w:lastRenderedPageBreak/>
        <w:t xml:space="preserve">Porselen </w:t>
      </w:r>
      <w:r w:rsidR="00E210C3" w:rsidRPr="00FA1AE0">
        <w:rPr>
          <w:b/>
          <w:lang w:val="tr-TR"/>
        </w:rPr>
        <w:t>ve cam</w:t>
      </w:r>
      <w:r w:rsidRPr="00FA1AE0">
        <w:rPr>
          <w:b/>
          <w:lang w:val="tr-TR"/>
        </w:rPr>
        <w:t>:</w:t>
      </w:r>
      <w:r>
        <w:rPr>
          <w:lang w:val="tr-TR"/>
        </w:rPr>
        <w:t xml:space="preserve"> Porselen ve cam, Brezilya’da INMETRO ve benzeri kalite sertifikasyonu gerektirmeyen </w:t>
      </w:r>
      <w:proofErr w:type="gramStart"/>
      <w:r>
        <w:rPr>
          <w:lang w:val="tr-TR"/>
        </w:rPr>
        <w:t>yegane</w:t>
      </w:r>
      <w:proofErr w:type="gramEnd"/>
      <w:r>
        <w:rPr>
          <w:lang w:val="tr-TR"/>
        </w:rPr>
        <w:t xml:space="preserve"> ürün grupları arasında bulunmaktadır. K</w:t>
      </w:r>
      <w:r w:rsidR="00D93348">
        <w:rPr>
          <w:lang w:val="tr-TR"/>
        </w:rPr>
        <w:t xml:space="preserve">ütahya Porselen ve Paşabahçe gibi markalar Brezilya’da oldukça üst </w:t>
      </w:r>
      <w:proofErr w:type="spellStart"/>
      <w:r w:rsidR="00D93348">
        <w:rPr>
          <w:lang w:val="tr-TR"/>
        </w:rPr>
        <w:t>segment</w:t>
      </w:r>
      <w:proofErr w:type="spellEnd"/>
      <w:r w:rsidR="00D93348">
        <w:rPr>
          <w:lang w:val="tr-TR"/>
        </w:rPr>
        <w:t xml:space="preserve"> olarak satılmakta, ayrıca lüks restoranlar tarafından da prestij unsuru olarak kullanılmaktadır.</w:t>
      </w:r>
    </w:p>
    <w:p w14:paraId="6A33A34F" w14:textId="77777777" w:rsidR="00FA1AE0" w:rsidRPr="00FA1AE0" w:rsidRDefault="00FA1AE0" w:rsidP="00FA1AE0">
      <w:pPr>
        <w:pStyle w:val="ListParagraph"/>
        <w:rPr>
          <w:lang w:val="tr-TR"/>
        </w:rPr>
      </w:pPr>
    </w:p>
    <w:p w14:paraId="015BFA8F" w14:textId="1F4AE167" w:rsidR="004463C9" w:rsidRDefault="00D93348" w:rsidP="004463C9">
      <w:pPr>
        <w:pStyle w:val="ListParagraph"/>
        <w:numPr>
          <w:ilvl w:val="0"/>
          <w:numId w:val="1"/>
        </w:numPr>
        <w:ind w:left="426"/>
        <w:jc w:val="both"/>
        <w:rPr>
          <w:lang w:val="tr-TR"/>
        </w:rPr>
      </w:pPr>
      <w:r w:rsidRPr="00FA1AE0">
        <w:rPr>
          <w:b/>
          <w:lang w:val="tr-TR"/>
        </w:rPr>
        <w:t xml:space="preserve">Otomotiv </w:t>
      </w:r>
      <w:r w:rsidR="00E210C3" w:rsidRPr="00FA1AE0">
        <w:rPr>
          <w:b/>
          <w:lang w:val="tr-TR"/>
        </w:rPr>
        <w:t>yedek parça</w:t>
      </w:r>
      <w:r w:rsidR="006E5EAB" w:rsidRPr="00FA1AE0">
        <w:rPr>
          <w:b/>
          <w:lang w:val="tr-TR"/>
        </w:rPr>
        <w:t xml:space="preserve">: </w:t>
      </w:r>
      <w:r w:rsidR="006E5EAB" w:rsidRPr="00FA1AE0">
        <w:rPr>
          <w:lang w:val="tr-TR"/>
        </w:rPr>
        <w:t xml:space="preserve">Brezilya, dünyanın 6. büyük otomotiv üreticisi olup, </w:t>
      </w:r>
      <w:proofErr w:type="spellStart"/>
      <w:r w:rsidR="006E5EAB" w:rsidRPr="00FA1AE0">
        <w:rPr>
          <w:lang w:val="tr-TR"/>
        </w:rPr>
        <w:t>São</w:t>
      </w:r>
      <w:proofErr w:type="spellEnd"/>
      <w:r w:rsidR="006E5EAB" w:rsidRPr="00FA1AE0">
        <w:rPr>
          <w:lang w:val="tr-TR"/>
        </w:rPr>
        <w:t xml:space="preserve"> </w:t>
      </w:r>
      <w:proofErr w:type="spellStart"/>
      <w:r w:rsidR="006E5EAB" w:rsidRPr="00FA1AE0">
        <w:rPr>
          <w:lang w:val="tr-TR"/>
        </w:rPr>
        <w:t>Paulo</w:t>
      </w:r>
      <w:proofErr w:type="spellEnd"/>
      <w:r w:rsidR="006E5EAB" w:rsidRPr="00FA1AE0">
        <w:rPr>
          <w:lang w:val="tr-TR"/>
        </w:rPr>
        <w:t xml:space="preserve"> ülke otomotiv üretiminin %48’ini tek başına gerçekleştirmektedir. Sadece </w:t>
      </w:r>
      <w:proofErr w:type="spellStart"/>
      <w:r w:rsidR="006E5EAB" w:rsidRPr="00FA1AE0">
        <w:rPr>
          <w:lang w:val="tr-TR"/>
        </w:rPr>
        <w:t>São</w:t>
      </w:r>
      <w:proofErr w:type="spellEnd"/>
      <w:r w:rsidR="006E5EAB" w:rsidRPr="00FA1AE0">
        <w:rPr>
          <w:lang w:val="tr-TR"/>
        </w:rPr>
        <w:t xml:space="preserve"> </w:t>
      </w:r>
      <w:proofErr w:type="spellStart"/>
      <w:r w:rsidR="006E5EAB" w:rsidRPr="00FA1AE0">
        <w:rPr>
          <w:lang w:val="tr-TR"/>
        </w:rPr>
        <w:t>Paulo</w:t>
      </w:r>
      <w:proofErr w:type="spellEnd"/>
      <w:r w:rsidR="006E5EAB" w:rsidRPr="00FA1AE0">
        <w:rPr>
          <w:lang w:val="tr-TR"/>
        </w:rPr>
        <w:t xml:space="preserve"> son 10 yılda bu sektörden 17 milyar ABD Doları tutarında yatırım çekmiştir</w:t>
      </w:r>
      <w:r w:rsidR="00FA1AE0" w:rsidRPr="00FA1AE0">
        <w:rPr>
          <w:lang w:val="tr-TR"/>
        </w:rPr>
        <w:t xml:space="preserve">. </w:t>
      </w:r>
      <w:proofErr w:type="spellStart"/>
      <w:r w:rsidR="00FA1AE0" w:rsidRPr="00FA1AE0">
        <w:rPr>
          <w:lang w:val="tr-TR"/>
        </w:rPr>
        <w:t>São</w:t>
      </w:r>
      <w:proofErr w:type="spellEnd"/>
      <w:r w:rsidR="00FA1AE0" w:rsidRPr="00FA1AE0">
        <w:rPr>
          <w:lang w:val="tr-TR"/>
        </w:rPr>
        <w:t xml:space="preserve"> </w:t>
      </w:r>
      <w:proofErr w:type="spellStart"/>
      <w:r w:rsidR="00FA1AE0" w:rsidRPr="00FA1AE0">
        <w:rPr>
          <w:lang w:val="tr-TR"/>
        </w:rPr>
        <w:t>Paulo</w:t>
      </w:r>
      <w:proofErr w:type="spellEnd"/>
      <w:r w:rsidR="00FA1AE0" w:rsidRPr="00FA1AE0">
        <w:rPr>
          <w:lang w:val="tr-TR"/>
        </w:rPr>
        <w:t xml:space="preserve"> ülke otomotiv üretiminin %48’ini tek başına gerçekleştirmekte olup aynı zamanda esnek yakıt teknolojisinde lider konumdadır. </w:t>
      </w:r>
    </w:p>
    <w:p w14:paraId="5B9FF740" w14:textId="77777777" w:rsidR="004463C9" w:rsidRPr="004463C9" w:rsidRDefault="004463C9" w:rsidP="004463C9">
      <w:pPr>
        <w:pStyle w:val="ListParagraph"/>
        <w:rPr>
          <w:lang w:val="tr-TR"/>
        </w:rPr>
      </w:pPr>
    </w:p>
    <w:p w14:paraId="34AB4378" w14:textId="56174242" w:rsidR="00D93348" w:rsidRPr="00FA1AE0" w:rsidRDefault="00BA03F3" w:rsidP="00FA1AE0">
      <w:pPr>
        <w:pStyle w:val="ListParagraph"/>
        <w:ind w:left="426"/>
        <w:jc w:val="both"/>
        <w:rPr>
          <w:lang w:val="tr-TR"/>
        </w:rPr>
      </w:pPr>
      <w:r w:rsidRPr="00FA1AE0">
        <w:rPr>
          <w:lang w:val="tr-TR"/>
        </w:rPr>
        <w:t>Ancak yüksek işçilik maliyetleri, otomasyon teknolojilerini çok gelişmiş olmaması ve yüksek bürokrasi gibi nedenlerle bu sektör yedek parça ithalatına bağımlıdır.</w:t>
      </w:r>
      <w:r w:rsidR="009279B2" w:rsidRPr="00FA1AE0">
        <w:rPr>
          <w:lang w:val="tr-TR"/>
        </w:rPr>
        <w:t xml:space="preserve"> Brezilya’ya ihracat potansiyelimizin en fazla olduğu 8708 faslında 2018 yılında Türkiye %0,7 payla </w:t>
      </w:r>
      <w:r w:rsidR="00665D0B" w:rsidRPr="00FA1AE0">
        <w:rPr>
          <w:lang w:val="tr-TR"/>
        </w:rPr>
        <w:t xml:space="preserve">(40 milyon dolar) </w:t>
      </w:r>
      <w:r w:rsidR="009279B2" w:rsidRPr="00FA1AE0">
        <w:rPr>
          <w:lang w:val="tr-TR"/>
        </w:rPr>
        <w:t>Brezilya’nın ithalatında 19. Sırada yer almıştır.</w:t>
      </w:r>
    </w:p>
    <w:p w14:paraId="194209F2" w14:textId="77777777" w:rsidR="00FA1AE0" w:rsidRPr="00FA1AE0" w:rsidRDefault="00FA1AE0" w:rsidP="00FA1AE0">
      <w:pPr>
        <w:pStyle w:val="ListParagraph"/>
        <w:ind w:left="426"/>
        <w:jc w:val="both"/>
        <w:rPr>
          <w:lang w:val="tr-TR"/>
        </w:rPr>
      </w:pPr>
      <w:r w:rsidRPr="00FA1AE0">
        <w:rPr>
          <w:lang w:val="tr-TR"/>
        </w:rPr>
        <w:t>Türkiye’nin kara taşıtlarının aksam ve parçalarına ilişkin RCA analizi sonucu 0,9 olduğundan hareketle bu sektörde de mukayeseli üstünlüğe sahip olduğumuzun varsayılabileceği düşünülmektedir.</w:t>
      </w:r>
    </w:p>
    <w:p w14:paraId="6EDDF0AF" w14:textId="1D78E137" w:rsidR="00783E70" w:rsidRDefault="00783E70">
      <w:pPr>
        <w:rPr>
          <w:lang w:val="tr-TR"/>
        </w:rPr>
      </w:pPr>
      <w:bookmarkStart w:id="5" w:name="_GoBack"/>
      <w:bookmarkEnd w:id="5"/>
    </w:p>
    <w:sectPr w:rsidR="00783E70" w:rsidSect="00D74F5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E61D" w14:textId="77777777" w:rsidR="007C0B38" w:rsidRDefault="007C0B38" w:rsidP="00DD6D4B">
      <w:pPr>
        <w:spacing w:after="0" w:line="240" w:lineRule="auto"/>
      </w:pPr>
      <w:r>
        <w:separator/>
      </w:r>
    </w:p>
  </w:endnote>
  <w:endnote w:type="continuationSeparator" w:id="0">
    <w:p w14:paraId="4E83AAEB" w14:textId="77777777" w:rsidR="007C0B38" w:rsidRDefault="007C0B38" w:rsidP="00DD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843163"/>
      <w:docPartObj>
        <w:docPartGallery w:val="Page Numbers (Bottom of Page)"/>
        <w:docPartUnique/>
      </w:docPartObj>
    </w:sdtPr>
    <w:sdtEndPr>
      <w:rPr>
        <w:noProof/>
      </w:rPr>
    </w:sdtEndPr>
    <w:sdtContent>
      <w:p w14:paraId="46EEBA6B" w14:textId="76950909" w:rsidR="009004F3" w:rsidRDefault="00900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6E53" w14:textId="77777777" w:rsidR="009004F3" w:rsidRDefault="0090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576D" w14:textId="77777777" w:rsidR="007C0B38" w:rsidRDefault="007C0B38" w:rsidP="00DD6D4B">
      <w:pPr>
        <w:spacing w:after="0" w:line="240" w:lineRule="auto"/>
      </w:pPr>
      <w:r>
        <w:separator/>
      </w:r>
    </w:p>
  </w:footnote>
  <w:footnote w:type="continuationSeparator" w:id="0">
    <w:p w14:paraId="718495A6" w14:textId="77777777" w:rsidR="007C0B38" w:rsidRDefault="007C0B38" w:rsidP="00DD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845778"/>
      <w:docPartObj>
        <w:docPartGallery w:val="Page Numbers (Top of Page)"/>
        <w:docPartUnique/>
      </w:docPartObj>
    </w:sdtPr>
    <w:sdtEndPr>
      <w:rPr>
        <w:noProof/>
      </w:rPr>
    </w:sdtEndPr>
    <w:sdtContent>
      <w:p w14:paraId="7DFD7EBE" w14:textId="416D6FB6" w:rsidR="009004F3" w:rsidRPr="009004F3" w:rsidRDefault="009004F3" w:rsidP="009004F3">
        <w:pPr>
          <w:pStyle w:val="Header"/>
          <w:jc w:val="right"/>
          <w:rPr>
            <w:sz w:val="20"/>
            <w:szCs w:val="20"/>
          </w:rPr>
        </w:pPr>
        <w:r>
          <w:rPr>
            <w:sz w:val="20"/>
            <w:szCs w:val="20"/>
          </w:rPr>
          <w:t xml:space="preserve">T.C. </w:t>
        </w:r>
        <w:r w:rsidRPr="00DE2EBE">
          <w:rPr>
            <w:sz w:val="20"/>
            <w:szCs w:val="20"/>
          </w:rPr>
          <w:t xml:space="preserve">São Paulo </w:t>
        </w:r>
        <w:r>
          <w:rPr>
            <w:sz w:val="20"/>
            <w:szCs w:val="20"/>
          </w:rPr>
          <w:t xml:space="preserve">Başkonsolosluğu </w:t>
        </w:r>
        <w:r w:rsidRPr="00DE2EBE">
          <w:rPr>
            <w:sz w:val="20"/>
            <w:szCs w:val="20"/>
          </w:rPr>
          <w:t>Ticaret Ataşeliği</w:t>
        </w:r>
      </w:p>
    </w:sdtContent>
  </w:sdt>
  <w:p w14:paraId="6DC90234" w14:textId="77777777" w:rsidR="00DD6D4B" w:rsidRPr="00DD6D4B" w:rsidRDefault="00DD6D4B" w:rsidP="00DD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75F"/>
    <w:multiLevelType w:val="hybridMultilevel"/>
    <w:tmpl w:val="47785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70109C"/>
    <w:multiLevelType w:val="hybridMultilevel"/>
    <w:tmpl w:val="A22CE68A"/>
    <w:lvl w:ilvl="0" w:tplc="C21E7896">
      <w:start w:val="1"/>
      <w:numFmt w:val="bullet"/>
      <w:lvlText w:val="•"/>
      <w:lvlJc w:val="left"/>
      <w:pPr>
        <w:tabs>
          <w:tab w:val="num" w:pos="720"/>
        </w:tabs>
        <w:ind w:left="720" w:hanging="360"/>
      </w:pPr>
      <w:rPr>
        <w:rFonts w:ascii="Times New Roman" w:hAnsi="Times New Roman" w:hint="default"/>
      </w:rPr>
    </w:lvl>
    <w:lvl w:ilvl="1" w:tplc="97A2B2DA" w:tentative="1">
      <w:start w:val="1"/>
      <w:numFmt w:val="bullet"/>
      <w:lvlText w:val="•"/>
      <w:lvlJc w:val="left"/>
      <w:pPr>
        <w:tabs>
          <w:tab w:val="num" w:pos="1440"/>
        </w:tabs>
        <w:ind w:left="1440" w:hanging="360"/>
      </w:pPr>
      <w:rPr>
        <w:rFonts w:ascii="Times New Roman" w:hAnsi="Times New Roman" w:hint="default"/>
      </w:rPr>
    </w:lvl>
    <w:lvl w:ilvl="2" w:tplc="C88A0194" w:tentative="1">
      <w:start w:val="1"/>
      <w:numFmt w:val="bullet"/>
      <w:lvlText w:val="•"/>
      <w:lvlJc w:val="left"/>
      <w:pPr>
        <w:tabs>
          <w:tab w:val="num" w:pos="2160"/>
        </w:tabs>
        <w:ind w:left="2160" w:hanging="360"/>
      </w:pPr>
      <w:rPr>
        <w:rFonts w:ascii="Times New Roman" w:hAnsi="Times New Roman" w:hint="default"/>
      </w:rPr>
    </w:lvl>
    <w:lvl w:ilvl="3" w:tplc="FBFE0200" w:tentative="1">
      <w:start w:val="1"/>
      <w:numFmt w:val="bullet"/>
      <w:lvlText w:val="•"/>
      <w:lvlJc w:val="left"/>
      <w:pPr>
        <w:tabs>
          <w:tab w:val="num" w:pos="2880"/>
        </w:tabs>
        <w:ind w:left="2880" w:hanging="360"/>
      </w:pPr>
      <w:rPr>
        <w:rFonts w:ascii="Times New Roman" w:hAnsi="Times New Roman" w:hint="default"/>
      </w:rPr>
    </w:lvl>
    <w:lvl w:ilvl="4" w:tplc="2904C4D4" w:tentative="1">
      <w:start w:val="1"/>
      <w:numFmt w:val="bullet"/>
      <w:lvlText w:val="•"/>
      <w:lvlJc w:val="left"/>
      <w:pPr>
        <w:tabs>
          <w:tab w:val="num" w:pos="3600"/>
        </w:tabs>
        <w:ind w:left="3600" w:hanging="360"/>
      </w:pPr>
      <w:rPr>
        <w:rFonts w:ascii="Times New Roman" w:hAnsi="Times New Roman" w:hint="default"/>
      </w:rPr>
    </w:lvl>
    <w:lvl w:ilvl="5" w:tplc="98486B90" w:tentative="1">
      <w:start w:val="1"/>
      <w:numFmt w:val="bullet"/>
      <w:lvlText w:val="•"/>
      <w:lvlJc w:val="left"/>
      <w:pPr>
        <w:tabs>
          <w:tab w:val="num" w:pos="4320"/>
        </w:tabs>
        <w:ind w:left="4320" w:hanging="360"/>
      </w:pPr>
      <w:rPr>
        <w:rFonts w:ascii="Times New Roman" w:hAnsi="Times New Roman" w:hint="default"/>
      </w:rPr>
    </w:lvl>
    <w:lvl w:ilvl="6" w:tplc="EE54A85C" w:tentative="1">
      <w:start w:val="1"/>
      <w:numFmt w:val="bullet"/>
      <w:lvlText w:val="•"/>
      <w:lvlJc w:val="left"/>
      <w:pPr>
        <w:tabs>
          <w:tab w:val="num" w:pos="5040"/>
        </w:tabs>
        <w:ind w:left="5040" w:hanging="360"/>
      </w:pPr>
      <w:rPr>
        <w:rFonts w:ascii="Times New Roman" w:hAnsi="Times New Roman" w:hint="default"/>
      </w:rPr>
    </w:lvl>
    <w:lvl w:ilvl="7" w:tplc="6CBC0404" w:tentative="1">
      <w:start w:val="1"/>
      <w:numFmt w:val="bullet"/>
      <w:lvlText w:val="•"/>
      <w:lvlJc w:val="left"/>
      <w:pPr>
        <w:tabs>
          <w:tab w:val="num" w:pos="5760"/>
        </w:tabs>
        <w:ind w:left="5760" w:hanging="360"/>
      </w:pPr>
      <w:rPr>
        <w:rFonts w:ascii="Times New Roman" w:hAnsi="Times New Roman" w:hint="default"/>
      </w:rPr>
    </w:lvl>
    <w:lvl w:ilvl="8" w:tplc="6E54FC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1A6F2C"/>
    <w:multiLevelType w:val="hybridMultilevel"/>
    <w:tmpl w:val="9370B4F2"/>
    <w:lvl w:ilvl="0" w:tplc="63D2ED34">
      <w:start w:val="201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44C0EA5"/>
    <w:multiLevelType w:val="hybridMultilevel"/>
    <w:tmpl w:val="E304AF10"/>
    <w:lvl w:ilvl="0" w:tplc="AF88A3C0">
      <w:start w:val="1"/>
      <w:numFmt w:val="bullet"/>
      <w:lvlText w:val="•"/>
      <w:lvlJc w:val="left"/>
      <w:pPr>
        <w:tabs>
          <w:tab w:val="num" w:pos="720"/>
        </w:tabs>
        <w:ind w:left="720" w:hanging="360"/>
      </w:pPr>
      <w:rPr>
        <w:rFonts w:ascii="Times New Roman" w:hAnsi="Times New Roman" w:hint="default"/>
      </w:rPr>
    </w:lvl>
    <w:lvl w:ilvl="1" w:tplc="721AD970" w:tentative="1">
      <w:start w:val="1"/>
      <w:numFmt w:val="bullet"/>
      <w:lvlText w:val="•"/>
      <w:lvlJc w:val="left"/>
      <w:pPr>
        <w:tabs>
          <w:tab w:val="num" w:pos="1440"/>
        </w:tabs>
        <w:ind w:left="1440" w:hanging="360"/>
      </w:pPr>
      <w:rPr>
        <w:rFonts w:ascii="Times New Roman" w:hAnsi="Times New Roman" w:hint="default"/>
      </w:rPr>
    </w:lvl>
    <w:lvl w:ilvl="2" w:tplc="5F3872DE" w:tentative="1">
      <w:start w:val="1"/>
      <w:numFmt w:val="bullet"/>
      <w:lvlText w:val="•"/>
      <w:lvlJc w:val="left"/>
      <w:pPr>
        <w:tabs>
          <w:tab w:val="num" w:pos="2160"/>
        </w:tabs>
        <w:ind w:left="2160" w:hanging="360"/>
      </w:pPr>
      <w:rPr>
        <w:rFonts w:ascii="Times New Roman" w:hAnsi="Times New Roman" w:hint="default"/>
      </w:rPr>
    </w:lvl>
    <w:lvl w:ilvl="3" w:tplc="4C8C2C7A" w:tentative="1">
      <w:start w:val="1"/>
      <w:numFmt w:val="bullet"/>
      <w:lvlText w:val="•"/>
      <w:lvlJc w:val="left"/>
      <w:pPr>
        <w:tabs>
          <w:tab w:val="num" w:pos="2880"/>
        </w:tabs>
        <w:ind w:left="2880" w:hanging="360"/>
      </w:pPr>
      <w:rPr>
        <w:rFonts w:ascii="Times New Roman" w:hAnsi="Times New Roman" w:hint="default"/>
      </w:rPr>
    </w:lvl>
    <w:lvl w:ilvl="4" w:tplc="A1F4B358" w:tentative="1">
      <w:start w:val="1"/>
      <w:numFmt w:val="bullet"/>
      <w:lvlText w:val="•"/>
      <w:lvlJc w:val="left"/>
      <w:pPr>
        <w:tabs>
          <w:tab w:val="num" w:pos="3600"/>
        </w:tabs>
        <w:ind w:left="3600" w:hanging="360"/>
      </w:pPr>
      <w:rPr>
        <w:rFonts w:ascii="Times New Roman" w:hAnsi="Times New Roman" w:hint="default"/>
      </w:rPr>
    </w:lvl>
    <w:lvl w:ilvl="5" w:tplc="B5400CA0" w:tentative="1">
      <w:start w:val="1"/>
      <w:numFmt w:val="bullet"/>
      <w:lvlText w:val="•"/>
      <w:lvlJc w:val="left"/>
      <w:pPr>
        <w:tabs>
          <w:tab w:val="num" w:pos="4320"/>
        </w:tabs>
        <w:ind w:left="4320" w:hanging="360"/>
      </w:pPr>
      <w:rPr>
        <w:rFonts w:ascii="Times New Roman" w:hAnsi="Times New Roman" w:hint="default"/>
      </w:rPr>
    </w:lvl>
    <w:lvl w:ilvl="6" w:tplc="ACF23856" w:tentative="1">
      <w:start w:val="1"/>
      <w:numFmt w:val="bullet"/>
      <w:lvlText w:val="•"/>
      <w:lvlJc w:val="left"/>
      <w:pPr>
        <w:tabs>
          <w:tab w:val="num" w:pos="5040"/>
        </w:tabs>
        <w:ind w:left="5040" w:hanging="360"/>
      </w:pPr>
      <w:rPr>
        <w:rFonts w:ascii="Times New Roman" w:hAnsi="Times New Roman" w:hint="default"/>
      </w:rPr>
    </w:lvl>
    <w:lvl w:ilvl="7" w:tplc="99D02E88" w:tentative="1">
      <w:start w:val="1"/>
      <w:numFmt w:val="bullet"/>
      <w:lvlText w:val="•"/>
      <w:lvlJc w:val="left"/>
      <w:pPr>
        <w:tabs>
          <w:tab w:val="num" w:pos="5760"/>
        </w:tabs>
        <w:ind w:left="5760" w:hanging="360"/>
      </w:pPr>
      <w:rPr>
        <w:rFonts w:ascii="Times New Roman" w:hAnsi="Times New Roman" w:hint="default"/>
      </w:rPr>
    </w:lvl>
    <w:lvl w:ilvl="8" w:tplc="66764F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221328"/>
    <w:multiLevelType w:val="hybridMultilevel"/>
    <w:tmpl w:val="4F52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93548"/>
    <w:multiLevelType w:val="hybridMultilevel"/>
    <w:tmpl w:val="B6381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7A6F36"/>
    <w:multiLevelType w:val="hybridMultilevel"/>
    <w:tmpl w:val="4E3A804C"/>
    <w:lvl w:ilvl="0" w:tplc="7A1AA2B0">
      <w:start w:val="1"/>
      <w:numFmt w:val="bullet"/>
      <w:lvlText w:val="•"/>
      <w:lvlJc w:val="left"/>
      <w:pPr>
        <w:tabs>
          <w:tab w:val="num" w:pos="720"/>
        </w:tabs>
        <w:ind w:left="720" w:hanging="360"/>
      </w:pPr>
      <w:rPr>
        <w:rFonts w:ascii="Arial" w:hAnsi="Arial" w:hint="default"/>
      </w:rPr>
    </w:lvl>
    <w:lvl w:ilvl="1" w:tplc="A6AC90AC" w:tentative="1">
      <w:start w:val="1"/>
      <w:numFmt w:val="bullet"/>
      <w:lvlText w:val="•"/>
      <w:lvlJc w:val="left"/>
      <w:pPr>
        <w:tabs>
          <w:tab w:val="num" w:pos="1440"/>
        </w:tabs>
        <w:ind w:left="1440" w:hanging="360"/>
      </w:pPr>
      <w:rPr>
        <w:rFonts w:ascii="Arial" w:hAnsi="Arial" w:hint="default"/>
      </w:rPr>
    </w:lvl>
    <w:lvl w:ilvl="2" w:tplc="C1A45F8E" w:tentative="1">
      <w:start w:val="1"/>
      <w:numFmt w:val="bullet"/>
      <w:lvlText w:val="•"/>
      <w:lvlJc w:val="left"/>
      <w:pPr>
        <w:tabs>
          <w:tab w:val="num" w:pos="2160"/>
        </w:tabs>
        <w:ind w:left="2160" w:hanging="360"/>
      </w:pPr>
      <w:rPr>
        <w:rFonts w:ascii="Arial" w:hAnsi="Arial" w:hint="default"/>
      </w:rPr>
    </w:lvl>
    <w:lvl w:ilvl="3" w:tplc="21BED3FE" w:tentative="1">
      <w:start w:val="1"/>
      <w:numFmt w:val="bullet"/>
      <w:lvlText w:val="•"/>
      <w:lvlJc w:val="left"/>
      <w:pPr>
        <w:tabs>
          <w:tab w:val="num" w:pos="2880"/>
        </w:tabs>
        <w:ind w:left="2880" w:hanging="360"/>
      </w:pPr>
      <w:rPr>
        <w:rFonts w:ascii="Arial" w:hAnsi="Arial" w:hint="default"/>
      </w:rPr>
    </w:lvl>
    <w:lvl w:ilvl="4" w:tplc="32CABC48" w:tentative="1">
      <w:start w:val="1"/>
      <w:numFmt w:val="bullet"/>
      <w:lvlText w:val="•"/>
      <w:lvlJc w:val="left"/>
      <w:pPr>
        <w:tabs>
          <w:tab w:val="num" w:pos="3600"/>
        </w:tabs>
        <w:ind w:left="3600" w:hanging="360"/>
      </w:pPr>
      <w:rPr>
        <w:rFonts w:ascii="Arial" w:hAnsi="Arial" w:hint="default"/>
      </w:rPr>
    </w:lvl>
    <w:lvl w:ilvl="5" w:tplc="ACA817E6" w:tentative="1">
      <w:start w:val="1"/>
      <w:numFmt w:val="bullet"/>
      <w:lvlText w:val="•"/>
      <w:lvlJc w:val="left"/>
      <w:pPr>
        <w:tabs>
          <w:tab w:val="num" w:pos="4320"/>
        </w:tabs>
        <w:ind w:left="4320" w:hanging="360"/>
      </w:pPr>
      <w:rPr>
        <w:rFonts w:ascii="Arial" w:hAnsi="Arial" w:hint="default"/>
      </w:rPr>
    </w:lvl>
    <w:lvl w:ilvl="6" w:tplc="3AE01E9C" w:tentative="1">
      <w:start w:val="1"/>
      <w:numFmt w:val="bullet"/>
      <w:lvlText w:val="•"/>
      <w:lvlJc w:val="left"/>
      <w:pPr>
        <w:tabs>
          <w:tab w:val="num" w:pos="5040"/>
        </w:tabs>
        <w:ind w:left="5040" w:hanging="360"/>
      </w:pPr>
      <w:rPr>
        <w:rFonts w:ascii="Arial" w:hAnsi="Arial" w:hint="default"/>
      </w:rPr>
    </w:lvl>
    <w:lvl w:ilvl="7" w:tplc="A1F6C5AE" w:tentative="1">
      <w:start w:val="1"/>
      <w:numFmt w:val="bullet"/>
      <w:lvlText w:val="•"/>
      <w:lvlJc w:val="left"/>
      <w:pPr>
        <w:tabs>
          <w:tab w:val="num" w:pos="5760"/>
        </w:tabs>
        <w:ind w:left="5760" w:hanging="360"/>
      </w:pPr>
      <w:rPr>
        <w:rFonts w:ascii="Arial" w:hAnsi="Arial" w:hint="default"/>
      </w:rPr>
    </w:lvl>
    <w:lvl w:ilvl="8" w:tplc="51745FA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CC"/>
    <w:rsid w:val="00013708"/>
    <w:rsid w:val="00071D33"/>
    <w:rsid w:val="000E3142"/>
    <w:rsid w:val="001A0DCF"/>
    <w:rsid w:val="001A3B50"/>
    <w:rsid w:val="003326AE"/>
    <w:rsid w:val="004463C9"/>
    <w:rsid w:val="00477042"/>
    <w:rsid w:val="00514B22"/>
    <w:rsid w:val="005A5E06"/>
    <w:rsid w:val="005F22B8"/>
    <w:rsid w:val="00623565"/>
    <w:rsid w:val="00632B44"/>
    <w:rsid w:val="00650E2B"/>
    <w:rsid w:val="00665D0B"/>
    <w:rsid w:val="006A1630"/>
    <w:rsid w:val="006D6839"/>
    <w:rsid w:val="006E5EAB"/>
    <w:rsid w:val="00761EC7"/>
    <w:rsid w:val="007805FA"/>
    <w:rsid w:val="00783E70"/>
    <w:rsid w:val="007C0B38"/>
    <w:rsid w:val="007E1D52"/>
    <w:rsid w:val="007F4A20"/>
    <w:rsid w:val="00853963"/>
    <w:rsid w:val="008777F6"/>
    <w:rsid w:val="008E1D68"/>
    <w:rsid w:val="009004F3"/>
    <w:rsid w:val="009279B2"/>
    <w:rsid w:val="009B29CC"/>
    <w:rsid w:val="00A76771"/>
    <w:rsid w:val="00A8680A"/>
    <w:rsid w:val="00AE5D02"/>
    <w:rsid w:val="00BA03F3"/>
    <w:rsid w:val="00BD7539"/>
    <w:rsid w:val="00C146CF"/>
    <w:rsid w:val="00C45C65"/>
    <w:rsid w:val="00CC44D3"/>
    <w:rsid w:val="00CE371E"/>
    <w:rsid w:val="00D01E6C"/>
    <w:rsid w:val="00D534D9"/>
    <w:rsid w:val="00D74F52"/>
    <w:rsid w:val="00D93348"/>
    <w:rsid w:val="00DB4911"/>
    <w:rsid w:val="00DC1AAD"/>
    <w:rsid w:val="00DD6D4B"/>
    <w:rsid w:val="00E03550"/>
    <w:rsid w:val="00E210C3"/>
    <w:rsid w:val="00F00626"/>
    <w:rsid w:val="00F36454"/>
    <w:rsid w:val="00F53CEA"/>
    <w:rsid w:val="00F75C06"/>
    <w:rsid w:val="00FA1AE0"/>
    <w:rsid w:val="00FC0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F77B"/>
  <w15:chartTrackingRefBased/>
  <w15:docId w15:val="{3432B317-5037-4A8C-B3C1-D7ADCA24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50"/>
    <w:pPr>
      <w:ind w:left="720"/>
      <w:contextualSpacing/>
    </w:pPr>
  </w:style>
  <w:style w:type="table" w:customStyle="1" w:styleId="Tabelanormal">
    <w:name w:val="Tabela normal"/>
    <w:uiPriority w:val="99"/>
    <w:semiHidden/>
    <w:rsid w:val="00DD6D4B"/>
    <w:pPr>
      <w:spacing w:after="0" w:line="240" w:lineRule="auto"/>
    </w:pPr>
    <w:rPr>
      <w:rFonts w:eastAsiaTheme="minorEastAsia"/>
      <w:lang w:eastAsia="pt-BR"/>
    </w:rPr>
    <w:tblPr>
      <w:tblCellMar>
        <w:top w:w="0" w:type="dxa"/>
        <w:left w:w="108" w:type="dxa"/>
        <w:bottom w:w="0" w:type="dxa"/>
        <w:right w:w="108" w:type="dxa"/>
      </w:tblCellMar>
    </w:tblPr>
  </w:style>
  <w:style w:type="paragraph" w:styleId="Header">
    <w:name w:val="header"/>
    <w:basedOn w:val="Normal"/>
    <w:link w:val="HeaderChar"/>
    <w:uiPriority w:val="99"/>
    <w:unhideWhenUsed/>
    <w:rsid w:val="00DD6D4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D6D4B"/>
  </w:style>
  <w:style w:type="paragraph" w:styleId="Footer">
    <w:name w:val="footer"/>
    <w:basedOn w:val="Normal"/>
    <w:link w:val="FooterChar"/>
    <w:uiPriority w:val="99"/>
    <w:unhideWhenUsed/>
    <w:rsid w:val="00DD6D4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6D4B"/>
  </w:style>
  <w:style w:type="character" w:styleId="Hyperlink">
    <w:name w:val="Hyperlink"/>
    <w:basedOn w:val="DefaultParagraphFont"/>
    <w:uiPriority w:val="99"/>
    <w:unhideWhenUsed/>
    <w:rsid w:val="00FA1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611">
      <w:bodyDiv w:val="1"/>
      <w:marLeft w:val="0"/>
      <w:marRight w:val="0"/>
      <w:marTop w:val="0"/>
      <w:marBottom w:val="0"/>
      <w:divBdr>
        <w:top w:val="none" w:sz="0" w:space="0" w:color="auto"/>
        <w:left w:val="none" w:sz="0" w:space="0" w:color="auto"/>
        <w:bottom w:val="none" w:sz="0" w:space="0" w:color="auto"/>
        <w:right w:val="none" w:sz="0" w:space="0" w:color="auto"/>
      </w:divBdr>
      <w:divsChild>
        <w:div w:id="1976643290">
          <w:marLeft w:val="446"/>
          <w:marRight w:val="0"/>
          <w:marTop w:val="115"/>
          <w:marBottom w:val="120"/>
          <w:divBdr>
            <w:top w:val="none" w:sz="0" w:space="0" w:color="auto"/>
            <w:left w:val="none" w:sz="0" w:space="0" w:color="auto"/>
            <w:bottom w:val="none" w:sz="0" w:space="0" w:color="auto"/>
            <w:right w:val="none" w:sz="0" w:space="0" w:color="auto"/>
          </w:divBdr>
        </w:div>
        <w:div w:id="817115567">
          <w:marLeft w:val="446"/>
          <w:marRight w:val="0"/>
          <w:marTop w:val="115"/>
          <w:marBottom w:val="120"/>
          <w:divBdr>
            <w:top w:val="none" w:sz="0" w:space="0" w:color="auto"/>
            <w:left w:val="none" w:sz="0" w:space="0" w:color="auto"/>
            <w:bottom w:val="none" w:sz="0" w:space="0" w:color="auto"/>
            <w:right w:val="none" w:sz="0" w:space="0" w:color="auto"/>
          </w:divBdr>
        </w:div>
        <w:div w:id="1504592871">
          <w:marLeft w:val="446"/>
          <w:marRight w:val="0"/>
          <w:marTop w:val="115"/>
          <w:marBottom w:val="120"/>
          <w:divBdr>
            <w:top w:val="none" w:sz="0" w:space="0" w:color="auto"/>
            <w:left w:val="none" w:sz="0" w:space="0" w:color="auto"/>
            <w:bottom w:val="none" w:sz="0" w:space="0" w:color="auto"/>
            <w:right w:val="none" w:sz="0" w:space="0" w:color="auto"/>
          </w:divBdr>
        </w:div>
        <w:div w:id="1196430590">
          <w:marLeft w:val="446"/>
          <w:marRight w:val="0"/>
          <w:marTop w:val="115"/>
          <w:marBottom w:val="120"/>
          <w:divBdr>
            <w:top w:val="none" w:sz="0" w:space="0" w:color="auto"/>
            <w:left w:val="none" w:sz="0" w:space="0" w:color="auto"/>
            <w:bottom w:val="none" w:sz="0" w:space="0" w:color="auto"/>
            <w:right w:val="none" w:sz="0" w:space="0" w:color="auto"/>
          </w:divBdr>
        </w:div>
        <w:div w:id="566650670">
          <w:marLeft w:val="446"/>
          <w:marRight w:val="0"/>
          <w:marTop w:val="115"/>
          <w:marBottom w:val="120"/>
          <w:divBdr>
            <w:top w:val="none" w:sz="0" w:space="0" w:color="auto"/>
            <w:left w:val="none" w:sz="0" w:space="0" w:color="auto"/>
            <w:bottom w:val="none" w:sz="0" w:space="0" w:color="auto"/>
            <w:right w:val="none" w:sz="0" w:space="0" w:color="auto"/>
          </w:divBdr>
        </w:div>
        <w:div w:id="1151167482">
          <w:marLeft w:val="446"/>
          <w:marRight w:val="0"/>
          <w:marTop w:val="115"/>
          <w:marBottom w:val="120"/>
          <w:divBdr>
            <w:top w:val="none" w:sz="0" w:space="0" w:color="auto"/>
            <w:left w:val="none" w:sz="0" w:space="0" w:color="auto"/>
            <w:bottom w:val="none" w:sz="0" w:space="0" w:color="auto"/>
            <w:right w:val="none" w:sz="0" w:space="0" w:color="auto"/>
          </w:divBdr>
        </w:div>
      </w:divsChild>
    </w:div>
    <w:div w:id="169369611">
      <w:bodyDiv w:val="1"/>
      <w:marLeft w:val="0"/>
      <w:marRight w:val="0"/>
      <w:marTop w:val="0"/>
      <w:marBottom w:val="0"/>
      <w:divBdr>
        <w:top w:val="none" w:sz="0" w:space="0" w:color="auto"/>
        <w:left w:val="none" w:sz="0" w:space="0" w:color="auto"/>
        <w:bottom w:val="none" w:sz="0" w:space="0" w:color="auto"/>
        <w:right w:val="none" w:sz="0" w:space="0" w:color="auto"/>
      </w:divBdr>
    </w:div>
    <w:div w:id="278756402">
      <w:bodyDiv w:val="1"/>
      <w:marLeft w:val="0"/>
      <w:marRight w:val="0"/>
      <w:marTop w:val="0"/>
      <w:marBottom w:val="0"/>
      <w:divBdr>
        <w:top w:val="none" w:sz="0" w:space="0" w:color="auto"/>
        <w:left w:val="none" w:sz="0" w:space="0" w:color="auto"/>
        <w:bottom w:val="none" w:sz="0" w:space="0" w:color="auto"/>
        <w:right w:val="none" w:sz="0" w:space="0" w:color="auto"/>
      </w:divBdr>
      <w:divsChild>
        <w:div w:id="372534380">
          <w:marLeft w:val="446"/>
          <w:marRight w:val="0"/>
          <w:marTop w:val="106"/>
          <w:marBottom w:val="120"/>
          <w:divBdr>
            <w:top w:val="none" w:sz="0" w:space="0" w:color="auto"/>
            <w:left w:val="none" w:sz="0" w:space="0" w:color="auto"/>
            <w:bottom w:val="none" w:sz="0" w:space="0" w:color="auto"/>
            <w:right w:val="none" w:sz="0" w:space="0" w:color="auto"/>
          </w:divBdr>
        </w:div>
        <w:div w:id="1895003094">
          <w:marLeft w:val="1166"/>
          <w:marRight w:val="0"/>
          <w:marTop w:val="91"/>
          <w:marBottom w:val="120"/>
          <w:divBdr>
            <w:top w:val="none" w:sz="0" w:space="0" w:color="auto"/>
            <w:left w:val="none" w:sz="0" w:space="0" w:color="auto"/>
            <w:bottom w:val="none" w:sz="0" w:space="0" w:color="auto"/>
            <w:right w:val="none" w:sz="0" w:space="0" w:color="auto"/>
          </w:divBdr>
        </w:div>
        <w:div w:id="58021277">
          <w:marLeft w:val="1166"/>
          <w:marRight w:val="0"/>
          <w:marTop w:val="91"/>
          <w:marBottom w:val="120"/>
          <w:divBdr>
            <w:top w:val="none" w:sz="0" w:space="0" w:color="auto"/>
            <w:left w:val="none" w:sz="0" w:space="0" w:color="auto"/>
            <w:bottom w:val="none" w:sz="0" w:space="0" w:color="auto"/>
            <w:right w:val="none" w:sz="0" w:space="0" w:color="auto"/>
          </w:divBdr>
        </w:div>
        <w:div w:id="1181772376">
          <w:marLeft w:val="1166"/>
          <w:marRight w:val="0"/>
          <w:marTop w:val="91"/>
          <w:marBottom w:val="120"/>
          <w:divBdr>
            <w:top w:val="none" w:sz="0" w:space="0" w:color="auto"/>
            <w:left w:val="none" w:sz="0" w:space="0" w:color="auto"/>
            <w:bottom w:val="none" w:sz="0" w:space="0" w:color="auto"/>
            <w:right w:val="none" w:sz="0" w:space="0" w:color="auto"/>
          </w:divBdr>
        </w:div>
        <w:div w:id="1572159953">
          <w:marLeft w:val="1166"/>
          <w:marRight w:val="0"/>
          <w:marTop w:val="91"/>
          <w:marBottom w:val="120"/>
          <w:divBdr>
            <w:top w:val="none" w:sz="0" w:space="0" w:color="auto"/>
            <w:left w:val="none" w:sz="0" w:space="0" w:color="auto"/>
            <w:bottom w:val="none" w:sz="0" w:space="0" w:color="auto"/>
            <w:right w:val="none" w:sz="0" w:space="0" w:color="auto"/>
          </w:divBdr>
        </w:div>
      </w:divsChild>
    </w:div>
    <w:div w:id="425538956">
      <w:bodyDiv w:val="1"/>
      <w:marLeft w:val="0"/>
      <w:marRight w:val="0"/>
      <w:marTop w:val="0"/>
      <w:marBottom w:val="0"/>
      <w:divBdr>
        <w:top w:val="none" w:sz="0" w:space="0" w:color="auto"/>
        <w:left w:val="none" w:sz="0" w:space="0" w:color="auto"/>
        <w:bottom w:val="none" w:sz="0" w:space="0" w:color="auto"/>
        <w:right w:val="none" w:sz="0" w:space="0" w:color="auto"/>
      </w:divBdr>
    </w:div>
    <w:div w:id="1126896796">
      <w:bodyDiv w:val="1"/>
      <w:marLeft w:val="0"/>
      <w:marRight w:val="0"/>
      <w:marTop w:val="0"/>
      <w:marBottom w:val="0"/>
      <w:divBdr>
        <w:top w:val="none" w:sz="0" w:space="0" w:color="auto"/>
        <w:left w:val="none" w:sz="0" w:space="0" w:color="auto"/>
        <w:bottom w:val="none" w:sz="0" w:space="0" w:color="auto"/>
        <w:right w:val="none" w:sz="0" w:space="0" w:color="auto"/>
      </w:divBdr>
    </w:div>
    <w:div w:id="1127427275">
      <w:bodyDiv w:val="1"/>
      <w:marLeft w:val="0"/>
      <w:marRight w:val="0"/>
      <w:marTop w:val="0"/>
      <w:marBottom w:val="0"/>
      <w:divBdr>
        <w:top w:val="none" w:sz="0" w:space="0" w:color="auto"/>
        <w:left w:val="none" w:sz="0" w:space="0" w:color="auto"/>
        <w:bottom w:val="none" w:sz="0" w:space="0" w:color="auto"/>
        <w:right w:val="none" w:sz="0" w:space="0" w:color="auto"/>
      </w:divBdr>
    </w:div>
    <w:div w:id="1654335431">
      <w:bodyDiv w:val="1"/>
      <w:marLeft w:val="0"/>
      <w:marRight w:val="0"/>
      <w:marTop w:val="0"/>
      <w:marBottom w:val="0"/>
      <w:divBdr>
        <w:top w:val="none" w:sz="0" w:space="0" w:color="auto"/>
        <w:left w:val="none" w:sz="0" w:space="0" w:color="auto"/>
        <w:bottom w:val="none" w:sz="0" w:space="0" w:color="auto"/>
        <w:right w:val="none" w:sz="0" w:space="0" w:color="auto"/>
      </w:divBdr>
    </w:div>
    <w:div w:id="1799374514">
      <w:bodyDiv w:val="1"/>
      <w:marLeft w:val="0"/>
      <w:marRight w:val="0"/>
      <w:marTop w:val="0"/>
      <w:marBottom w:val="0"/>
      <w:divBdr>
        <w:top w:val="none" w:sz="0" w:space="0" w:color="auto"/>
        <w:left w:val="none" w:sz="0" w:space="0" w:color="auto"/>
        <w:bottom w:val="none" w:sz="0" w:space="0" w:color="auto"/>
        <w:right w:val="none" w:sz="0" w:space="0" w:color="auto"/>
      </w:divBdr>
      <w:divsChild>
        <w:div w:id="1135029134">
          <w:marLeft w:val="547"/>
          <w:marRight w:val="0"/>
          <w:marTop w:val="0"/>
          <w:marBottom w:val="0"/>
          <w:divBdr>
            <w:top w:val="none" w:sz="0" w:space="0" w:color="auto"/>
            <w:left w:val="none" w:sz="0" w:space="0" w:color="auto"/>
            <w:bottom w:val="none" w:sz="0" w:space="0" w:color="auto"/>
            <w:right w:val="none" w:sz="0" w:space="0" w:color="auto"/>
          </w:divBdr>
        </w:div>
      </w:divsChild>
    </w:div>
    <w:div w:id="2113816891">
      <w:bodyDiv w:val="1"/>
      <w:marLeft w:val="0"/>
      <w:marRight w:val="0"/>
      <w:marTop w:val="0"/>
      <w:marBottom w:val="0"/>
      <w:divBdr>
        <w:top w:val="none" w:sz="0" w:space="0" w:color="auto"/>
        <w:left w:val="none" w:sz="0" w:space="0" w:color="auto"/>
        <w:bottom w:val="none" w:sz="0" w:space="0" w:color="auto"/>
        <w:right w:val="none" w:sz="0" w:space="0" w:color="auto"/>
      </w:divBdr>
      <w:divsChild>
        <w:div w:id="1287396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saopaulo@ticaret.gov.tr</dc:creator>
  <cp:keywords/>
  <dc:description/>
  <cp:lastModifiedBy>saopaulo@ticaret.gov.tr</cp:lastModifiedBy>
  <cp:revision>3</cp:revision>
  <dcterms:created xsi:type="dcterms:W3CDTF">2019-02-12T12:11:00Z</dcterms:created>
  <dcterms:modified xsi:type="dcterms:W3CDTF">2019-02-12T12:12:00Z</dcterms:modified>
</cp:coreProperties>
</file>